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E760E" w14:textId="77777777" w:rsidR="00A0189C" w:rsidRPr="00A0189C" w:rsidRDefault="00A0189C" w:rsidP="00A0189C">
      <w:pPr>
        <w:spacing w:after="0" w:line="240" w:lineRule="auto"/>
        <w:jc w:val="center"/>
        <w:rPr>
          <w:rFonts w:ascii="Georgia" w:hAnsi="Georgia"/>
          <w:b/>
          <w:bCs/>
          <w:sz w:val="24"/>
          <w:szCs w:val="24"/>
        </w:rPr>
      </w:pPr>
      <w:r w:rsidRPr="00A0189C">
        <w:rPr>
          <w:rFonts w:ascii="Georgia" w:hAnsi="Georgia"/>
          <w:b/>
          <w:bCs/>
          <w:sz w:val="24"/>
          <w:szCs w:val="24"/>
        </w:rPr>
        <w:t xml:space="preserve">SOAH DOCKET NO. 473-22-2695 </w:t>
      </w:r>
    </w:p>
    <w:p w14:paraId="7C23A517" w14:textId="77777777" w:rsidR="00A0189C" w:rsidRPr="00A0189C" w:rsidRDefault="00A0189C" w:rsidP="00A0189C">
      <w:pPr>
        <w:spacing w:after="0" w:line="240" w:lineRule="auto"/>
        <w:jc w:val="center"/>
        <w:rPr>
          <w:rFonts w:ascii="Georgia" w:hAnsi="Georgia"/>
          <w:b/>
          <w:bCs/>
          <w:sz w:val="24"/>
          <w:szCs w:val="24"/>
        </w:rPr>
      </w:pPr>
      <w:r w:rsidRPr="00A0189C">
        <w:rPr>
          <w:rFonts w:ascii="Georgia" w:hAnsi="Georgia"/>
          <w:b/>
          <w:bCs/>
          <w:sz w:val="24"/>
          <w:szCs w:val="24"/>
        </w:rPr>
        <w:t>PUC DOCKET NO. 53601</w:t>
      </w:r>
    </w:p>
    <w:p w14:paraId="421D95FE" w14:textId="77777777" w:rsidR="00A0189C" w:rsidRPr="00A0189C" w:rsidRDefault="00A0189C" w:rsidP="00A0189C">
      <w:pPr>
        <w:spacing w:after="0" w:line="240" w:lineRule="auto"/>
        <w:jc w:val="center"/>
        <w:rPr>
          <w:rFonts w:ascii="Georgia" w:hAnsi="Georgia"/>
          <w:b/>
          <w:bCs/>
          <w:sz w:val="24"/>
          <w:szCs w:val="24"/>
        </w:rPr>
      </w:pPr>
    </w:p>
    <w:tbl>
      <w:tblPr>
        <w:tblW w:w="0" w:type="auto"/>
        <w:tblLayout w:type="fixed"/>
        <w:tblLook w:val="0000" w:firstRow="0" w:lastRow="0" w:firstColumn="0" w:lastColumn="0" w:noHBand="0" w:noVBand="0"/>
      </w:tblPr>
      <w:tblGrid>
        <w:gridCol w:w="5508"/>
        <w:gridCol w:w="240"/>
        <w:gridCol w:w="4188"/>
      </w:tblGrid>
      <w:tr w:rsidR="00A0189C" w:rsidRPr="00A0189C" w14:paraId="1413F88B" w14:textId="77777777" w:rsidTr="00905267">
        <w:tc>
          <w:tcPr>
            <w:tcW w:w="5508" w:type="dxa"/>
          </w:tcPr>
          <w:p w14:paraId="0410118F" w14:textId="77777777" w:rsidR="00A0189C" w:rsidRPr="00A0189C" w:rsidRDefault="00A0189C" w:rsidP="00A0189C">
            <w:pPr>
              <w:spacing w:after="0" w:line="240" w:lineRule="auto"/>
              <w:rPr>
                <w:rFonts w:ascii="Georgia" w:hAnsi="Georgia"/>
                <w:b/>
                <w:bCs/>
                <w:sz w:val="24"/>
                <w:szCs w:val="24"/>
              </w:rPr>
            </w:pPr>
            <w:r w:rsidRPr="00A0189C">
              <w:rPr>
                <w:rFonts w:ascii="Georgia" w:hAnsi="Georgia"/>
                <w:b/>
                <w:bCs/>
                <w:sz w:val="24"/>
                <w:szCs w:val="24"/>
              </w:rPr>
              <w:t>APPLICATION OF ONCOR ELECTRIC DELIVERY COMPANY LLC FOR AUTHORITY TO CHANGE RATES</w:t>
            </w:r>
          </w:p>
        </w:tc>
        <w:tc>
          <w:tcPr>
            <w:tcW w:w="240" w:type="dxa"/>
          </w:tcPr>
          <w:p w14:paraId="777E5E15" w14:textId="77777777" w:rsidR="00A0189C" w:rsidRPr="00A0189C" w:rsidRDefault="00A0189C" w:rsidP="00A0189C">
            <w:pPr>
              <w:spacing w:after="0" w:line="240" w:lineRule="auto"/>
              <w:jc w:val="center"/>
              <w:rPr>
                <w:rFonts w:ascii="Georgia" w:hAnsi="Georgia"/>
                <w:b/>
                <w:bCs/>
                <w:sz w:val="24"/>
                <w:szCs w:val="24"/>
              </w:rPr>
            </w:pPr>
            <w:r w:rsidRPr="00A0189C">
              <w:rPr>
                <w:rFonts w:ascii="Georgia" w:hAnsi="Georgia"/>
                <w:b/>
                <w:bCs/>
                <w:sz w:val="24"/>
                <w:szCs w:val="24"/>
              </w:rPr>
              <w:t>§</w:t>
            </w:r>
          </w:p>
          <w:p w14:paraId="45EC423E" w14:textId="77777777" w:rsidR="00A0189C" w:rsidRPr="00A0189C" w:rsidRDefault="00A0189C" w:rsidP="00A0189C">
            <w:pPr>
              <w:spacing w:after="0" w:line="240" w:lineRule="auto"/>
              <w:jc w:val="center"/>
              <w:rPr>
                <w:rFonts w:ascii="Georgia" w:hAnsi="Georgia"/>
                <w:b/>
                <w:bCs/>
                <w:sz w:val="24"/>
                <w:szCs w:val="24"/>
              </w:rPr>
            </w:pPr>
            <w:r w:rsidRPr="00A0189C">
              <w:rPr>
                <w:rFonts w:ascii="Georgia" w:hAnsi="Georgia"/>
                <w:b/>
                <w:bCs/>
                <w:sz w:val="24"/>
                <w:szCs w:val="24"/>
              </w:rPr>
              <w:t>§</w:t>
            </w:r>
          </w:p>
          <w:p w14:paraId="13B60CAF" w14:textId="77777777" w:rsidR="00A0189C" w:rsidRPr="00A0189C" w:rsidRDefault="00A0189C" w:rsidP="00A0189C">
            <w:pPr>
              <w:spacing w:after="0" w:line="240" w:lineRule="auto"/>
              <w:jc w:val="center"/>
              <w:rPr>
                <w:rFonts w:ascii="Georgia" w:hAnsi="Georgia"/>
                <w:b/>
                <w:bCs/>
                <w:sz w:val="24"/>
                <w:szCs w:val="24"/>
              </w:rPr>
            </w:pPr>
            <w:r w:rsidRPr="00A0189C">
              <w:rPr>
                <w:rFonts w:ascii="Georgia" w:hAnsi="Georgia"/>
                <w:b/>
                <w:bCs/>
                <w:sz w:val="24"/>
                <w:szCs w:val="24"/>
              </w:rPr>
              <w:t>§</w:t>
            </w:r>
          </w:p>
        </w:tc>
        <w:tc>
          <w:tcPr>
            <w:tcW w:w="4188" w:type="dxa"/>
          </w:tcPr>
          <w:p w14:paraId="4A1145FA" w14:textId="77777777" w:rsidR="00A0189C" w:rsidRPr="00A0189C" w:rsidRDefault="00A0189C" w:rsidP="00A0189C">
            <w:pPr>
              <w:autoSpaceDE w:val="0"/>
              <w:autoSpaceDN w:val="0"/>
              <w:adjustRightInd w:val="0"/>
              <w:spacing w:after="0" w:line="240" w:lineRule="auto"/>
              <w:jc w:val="center"/>
              <w:rPr>
                <w:rFonts w:ascii="Georgia" w:hAnsi="Georgia"/>
                <w:sz w:val="24"/>
                <w:szCs w:val="24"/>
              </w:rPr>
            </w:pPr>
            <w:r w:rsidRPr="00A0189C">
              <w:rPr>
                <w:rFonts w:ascii="Georgia" w:hAnsi="Georgia"/>
                <w:sz w:val="24"/>
                <w:szCs w:val="24"/>
              </w:rPr>
              <w:t xml:space="preserve">BEFORE THE STATE OFFICE </w:t>
            </w:r>
          </w:p>
          <w:p w14:paraId="13B66EB3" w14:textId="77777777" w:rsidR="00A0189C" w:rsidRPr="00A0189C" w:rsidRDefault="00A0189C" w:rsidP="00A0189C">
            <w:pPr>
              <w:autoSpaceDE w:val="0"/>
              <w:autoSpaceDN w:val="0"/>
              <w:adjustRightInd w:val="0"/>
              <w:spacing w:after="0" w:line="240" w:lineRule="auto"/>
              <w:jc w:val="center"/>
              <w:rPr>
                <w:rFonts w:ascii="Georgia" w:hAnsi="Georgia"/>
                <w:sz w:val="24"/>
                <w:szCs w:val="24"/>
              </w:rPr>
            </w:pPr>
            <w:r w:rsidRPr="00A0189C">
              <w:rPr>
                <w:rFonts w:ascii="Georgia" w:hAnsi="Georgia"/>
                <w:sz w:val="24"/>
                <w:szCs w:val="24"/>
              </w:rPr>
              <w:t xml:space="preserve">OF </w:t>
            </w:r>
          </w:p>
          <w:p w14:paraId="58C18B90" w14:textId="77777777" w:rsidR="00A0189C" w:rsidRPr="00A0189C" w:rsidRDefault="00A0189C" w:rsidP="00A0189C">
            <w:pPr>
              <w:autoSpaceDE w:val="0"/>
              <w:autoSpaceDN w:val="0"/>
              <w:adjustRightInd w:val="0"/>
              <w:spacing w:after="0" w:line="240" w:lineRule="auto"/>
              <w:jc w:val="center"/>
              <w:rPr>
                <w:rFonts w:ascii="Georgia" w:hAnsi="Georgia"/>
                <w:b/>
                <w:bCs/>
                <w:sz w:val="24"/>
                <w:szCs w:val="24"/>
              </w:rPr>
            </w:pPr>
            <w:r w:rsidRPr="00A0189C">
              <w:rPr>
                <w:rFonts w:ascii="Georgia" w:hAnsi="Georgia"/>
                <w:sz w:val="24"/>
                <w:szCs w:val="24"/>
              </w:rPr>
              <w:t>ADMINISTRATIVE HEARINGS</w:t>
            </w:r>
          </w:p>
        </w:tc>
      </w:tr>
    </w:tbl>
    <w:p w14:paraId="2513B6B7" w14:textId="30611A5A" w:rsidR="00975DB6" w:rsidRPr="00975DB6" w:rsidRDefault="00975DB6" w:rsidP="00A0189C">
      <w:pPr>
        <w:spacing w:before="360" w:after="0" w:line="240" w:lineRule="auto"/>
        <w:jc w:val="center"/>
        <w:rPr>
          <w:rFonts w:ascii="Georgia" w:hAnsi="Georgia"/>
          <w:b/>
          <w:bCs/>
          <w:sz w:val="24"/>
          <w:szCs w:val="24"/>
          <w:u w:val="single"/>
        </w:rPr>
      </w:pPr>
      <w:r>
        <w:rPr>
          <w:rFonts w:ascii="Georgia" w:hAnsi="Georgia"/>
          <w:b/>
          <w:bCs/>
          <w:sz w:val="24"/>
          <w:szCs w:val="24"/>
          <w:u w:val="single"/>
        </w:rPr>
        <w:tab/>
      </w:r>
      <w:r>
        <w:rPr>
          <w:rFonts w:ascii="Georgia" w:hAnsi="Georgia"/>
          <w:b/>
          <w:bCs/>
          <w:sz w:val="24"/>
          <w:szCs w:val="24"/>
          <w:u w:val="single"/>
        </w:rPr>
        <w:tab/>
      </w:r>
      <w:r>
        <w:rPr>
          <w:rFonts w:ascii="Georgia" w:hAnsi="Georgia"/>
          <w:b/>
          <w:bCs/>
          <w:sz w:val="24"/>
          <w:szCs w:val="24"/>
          <w:u w:val="single"/>
        </w:rPr>
        <w:tab/>
      </w:r>
      <w:r>
        <w:rPr>
          <w:rFonts w:ascii="Georgia" w:hAnsi="Georgia"/>
          <w:b/>
          <w:bCs/>
          <w:sz w:val="24"/>
          <w:szCs w:val="24"/>
          <w:u w:val="single"/>
        </w:rPr>
        <w:tab/>
      </w:r>
      <w:r>
        <w:rPr>
          <w:rFonts w:ascii="Georgia" w:hAnsi="Georgia"/>
          <w:b/>
          <w:bCs/>
          <w:sz w:val="24"/>
          <w:szCs w:val="24"/>
          <w:u w:val="single"/>
        </w:rPr>
        <w:tab/>
      </w:r>
      <w:r>
        <w:rPr>
          <w:rFonts w:ascii="Georgia" w:hAnsi="Georgia"/>
          <w:b/>
          <w:bCs/>
          <w:sz w:val="24"/>
          <w:szCs w:val="24"/>
          <w:u w:val="single"/>
        </w:rPr>
        <w:tab/>
      </w:r>
    </w:p>
    <w:p w14:paraId="1D3929AB" w14:textId="30DD4684" w:rsidR="00C735BB" w:rsidRDefault="00C735BB" w:rsidP="00975DB6">
      <w:pPr>
        <w:spacing w:before="120" w:after="0" w:line="240" w:lineRule="auto"/>
        <w:jc w:val="center"/>
        <w:rPr>
          <w:rFonts w:ascii="Georgia" w:hAnsi="Georgia"/>
          <w:sz w:val="24"/>
          <w:szCs w:val="24"/>
        </w:rPr>
      </w:pPr>
      <w:r w:rsidRPr="00791CDB">
        <w:rPr>
          <w:rFonts w:ascii="Georgia" w:hAnsi="Georgia"/>
          <w:b/>
          <w:bCs/>
          <w:sz w:val="24"/>
          <w:szCs w:val="24"/>
        </w:rPr>
        <w:t xml:space="preserve">BRIEF OF </w:t>
      </w:r>
      <w:r w:rsidR="00AC7C5B">
        <w:rPr>
          <w:rFonts w:ascii="Georgia" w:hAnsi="Georgia"/>
          <w:b/>
          <w:bCs/>
          <w:sz w:val="24"/>
          <w:szCs w:val="24"/>
        </w:rPr>
        <w:t xml:space="preserve">THE </w:t>
      </w:r>
      <w:r w:rsidRPr="00791CDB">
        <w:rPr>
          <w:rFonts w:ascii="Georgia" w:hAnsi="Georgia"/>
          <w:b/>
          <w:bCs/>
          <w:sz w:val="24"/>
          <w:szCs w:val="24"/>
        </w:rPr>
        <w:t>KROGER CO</w:t>
      </w:r>
      <w:r w:rsidRPr="00791CDB">
        <w:rPr>
          <w:rFonts w:ascii="Georgia" w:hAnsi="Georgia"/>
          <w:sz w:val="24"/>
          <w:szCs w:val="24"/>
        </w:rPr>
        <w:t>.</w:t>
      </w:r>
    </w:p>
    <w:p w14:paraId="6DA1300D" w14:textId="420AC33D" w:rsidR="00975DB6" w:rsidRDefault="00975DB6" w:rsidP="00975DB6">
      <w:pPr>
        <w:spacing w:after="0" w:line="240" w:lineRule="auto"/>
        <w:jc w:val="center"/>
        <w:rPr>
          <w:rFonts w:ascii="Georgia" w:hAnsi="Georgia"/>
          <w:sz w:val="24"/>
          <w:szCs w:val="24"/>
          <w:u w:val="single"/>
        </w:rPr>
      </w:pPr>
      <w:r>
        <w:rPr>
          <w:rFonts w:ascii="Georgia" w:hAnsi="Georgia"/>
          <w:sz w:val="24"/>
          <w:szCs w:val="24"/>
          <w:u w:val="single"/>
        </w:rPr>
        <w:tab/>
      </w:r>
      <w:r>
        <w:rPr>
          <w:rFonts w:ascii="Georgia" w:hAnsi="Georgia"/>
          <w:sz w:val="24"/>
          <w:szCs w:val="24"/>
          <w:u w:val="single"/>
        </w:rPr>
        <w:tab/>
      </w:r>
      <w:r>
        <w:rPr>
          <w:rFonts w:ascii="Georgia" w:hAnsi="Georgia"/>
          <w:sz w:val="24"/>
          <w:szCs w:val="24"/>
          <w:u w:val="single"/>
        </w:rPr>
        <w:tab/>
      </w:r>
      <w:r>
        <w:rPr>
          <w:rFonts w:ascii="Georgia" w:hAnsi="Georgia"/>
          <w:sz w:val="24"/>
          <w:szCs w:val="24"/>
          <w:u w:val="single"/>
        </w:rPr>
        <w:tab/>
      </w:r>
      <w:r>
        <w:rPr>
          <w:rFonts w:ascii="Georgia" w:hAnsi="Georgia"/>
          <w:sz w:val="24"/>
          <w:szCs w:val="24"/>
          <w:u w:val="single"/>
        </w:rPr>
        <w:tab/>
      </w:r>
      <w:r>
        <w:rPr>
          <w:rFonts w:ascii="Georgia" w:hAnsi="Georgia"/>
          <w:sz w:val="24"/>
          <w:szCs w:val="24"/>
          <w:u w:val="single"/>
        </w:rPr>
        <w:tab/>
      </w:r>
    </w:p>
    <w:p w14:paraId="1C4DCF43" w14:textId="2A5DB9E4" w:rsidR="00AA4686" w:rsidRPr="00791CDB" w:rsidRDefault="009F194E" w:rsidP="00146CBD">
      <w:pPr>
        <w:pStyle w:val="ListParagraph"/>
        <w:numPr>
          <w:ilvl w:val="0"/>
          <w:numId w:val="2"/>
        </w:numPr>
        <w:spacing w:before="360" w:after="0" w:line="480" w:lineRule="auto"/>
        <w:ind w:left="0" w:firstLine="0"/>
        <w:jc w:val="center"/>
        <w:rPr>
          <w:rFonts w:ascii="Georgia" w:hAnsi="Georgia"/>
          <w:b/>
          <w:bCs/>
          <w:sz w:val="24"/>
          <w:szCs w:val="24"/>
        </w:rPr>
      </w:pPr>
      <w:r w:rsidRPr="00791CDB">
        <w:rPr>
          <w:rFonts w:ascii="Georgia" w:hAnsi="Georgia"/>
          <w:b/>
          <w:bCs/>
          <w:sz w:val="24"/>
          <w:szCs w:val="24"/>
        </w:rPr>
        <w:t>INTRODUCTION</w:t>
      </w:r>
    </w:p>
    <w:p w14:paraId="544EA5AB" w14:textId="56174494" w:rsidR="00C735BB" w:rsidRPr="00791CDB" w:rsidRDefault="00D33B55" w:rsidP="00146CBD">
      <w:pPr>
        <w:spacing w:after="0" w:line="480" w:lineRule="auto"/>
        <w:ind w:firstLine="720"/>
        <w:jc w:val="both"/>
        <w:rPr>
          <w:rFonts w:ascii="Georgia" w:hAnsi="Georgia"/>
          <w:bCs/>
          <w:sz w:val="24"/>
          <w:szCs w:val="24"/>
        </w:rPr>
      </w:pPr>
      <w:r w:rsidRPr="00791CDB">
        <w:rPr>
          <w:rFonts w:ascii="Georgia" w:hAnsi="Georgia"/>
          <w:sz w:val="24"/>
          <w:szCs w:val="24"/>
        </w:rPr>
        <w:t xml:space="preserve">Pursuant to </w:t>
      </w:r>
      <w:r w:rsidR="00286B7A" w:rsidRPr="00791CDB">
        <w:rPr>
          <w:rFonts w:ascii="Georgia" w:hAnsi="Georgia"/>
          <w:sz w:val="24"/>
          <w:szCs w:val="24"/>
        </w:rPr>
        <w:t>SOAH Order No. 20</w:t>
      </w:r>
      <w:r w:rsidR="00073871" w:rsidRPr="00791CDB">
        <w:rPr>
          <w:rFonts w:ascii="Georgia" w:hAnsi="Georgia"/>
          <w:sz w:val="24"/>
          <w:szCs w:val="24"/>
        </w:rPr>
        <w:t>;</w:t>
      </w:r>
      <w:r w:rsidRPr="00791CDB">
        <w:rPr>
          <w:rFonts w:ascii="Georgia" w:hAnsi="Georgia"/>
          <w:sz w:val="24"/>
          <w:szCs w:val="24"/>
        </w:rPr>
        <w:t xml:space="preserve"> </w:t>
      </w:r>
      <w:r w:rsidR="00AC7C5B">
        <w:rPr>
          <w:rFonts w:ascii="Georgia" w:hAnsi="Georgia"/>
          <w:sz w:val="24"/>
          <w:szCs w:val="24"/>
        </w:rPr>
        <w:t xml:space="preserve">The </w:t>
      </w:r>
      <w:r w:rsidRPr="00791CDB">
        <w:rPr>
          <w:rFonts w:ascii="Georgia" w:hAnsi="Georgia"/>
          <w:sz w:val="24"/>
          <w:szCs w:val="24"/>
        </w:rPr>
        <w:t>Kroger Co. (“Kroger”)</w:t>
      </w:r>
      <w:r w:rsidR="0078479F" w:rsidRPr="00791CDB">
        <w:rPr>
          <w:rFonts w:ascii="Georgia" w:hAnsi="Georgia"/>
          <w:sz w:val="24"/>
          <w:szCs w:val="24"/>
        </w:rPr>
        <w:t>,</w:t>
      </w:r>
      <w:r w:rsidRPr="00791CDB">
        <w:rPr>
          <w:rFonts w:ascii="Georgia" w:hAnsi="Georgia"/>
          <w:sz w:val="24"/>
          <w:szCs w:val="24"/>
        </w:rPr>
        <w:t xml:space="preserve"> submits this Brief in support of its recommendation that the </w:t>
      </w:r>
      <w:r w:rsidR="008D46B4" w:rsidRPr="00791CDB">
        <w:rPr>
          <w:rFonts w:ascii="Georgia" w:hAnsi="Georgia"/>
          <w:sz w:val="24"/>
          <w:szCs w:val="24"/>
        </w:rPr>
        <w:t>Public Utility Commission of Texas (“Commission”)</w:t>
      </w:r>
      <w:r w:rsidRPr="00791CDB">
        <w:rPr>
          <w:rFonts w:ascii="Georgia" w:hAnsi="Georgia"/>
          <w:sz w:val="24"/>
          <w:szCs w:val="24"/>
        </w:rPr>
        <w:t xml:space="preserve"> </w:t>
      </w:r>
      <w:r w:rsidR="00740DD1">
        <w:rPr>
          <w:rFonts w:ascii="Georgia" w:hAnsi="Georgia"/>
          <w:bCs/>
          <w:sz w:val="24"/>
          <w:szCs w:val="24"/>
        </w:rPr>
        <w:t>modify</w:t>
      </w:r>
      <w:r w:rsidR="00361A64" w:rsidRPr="00791CDB">
        <w:rPr>
          <w:rFonts w:ascii="Georgia" w:hAnsi="Georgia"/>
          <w:bCs/>
          <w:sz w:val="24"/>
          <w:szCs w:val="24"/>
        </w:rPr>
        <w:t xml:space="preserve"> the alignment between rates within</w:t>
      </w:r>
      <w:r w:rsidR="009D0228" w:rsidRPr="00791CDB">
        <w:rPr>
          <w:rFonts w:ascii="Georgia" w:hAnsi="Georgia"/>
          <w:bCs/>
          <w:sz w:val="24"/>
          <w:szCs w:val="24"/>
        </w:rPr>
        <w:t xml:space="preserve"> Oncor Electric Delivery Company LLC’s (“Oncor” or “Company”)</w:t>
      </w:r>
      <w:r w:rsidR="00361A64" w:rsidRPr="00791CDB">
        <w:rPr>
          <w:rFonts w:ascii="Georgia" w:hAnsi="Georgia"/>
          <w:bCs/>
          <w:sz w:val="24"/>
          <w:szCs w:val="24"/>
        </w:rPr>
        <w:t xml:space="preserve"> </w:t>
      </w:r>
      <w:r w:rsidR="00361A64" w:rsidRPr="00791CDB">
        <w:rPr>
          <w:rFonts w:ascii="Georgia" w:hAnsi="Georgia"/>
          <w:sz w:val="24"/>
          <w:szCs w:val="24"/>
        </w:rPr>
        <w:t xml:space="preserve">Secondary &gt; 10 kW rate schedule </w:t>
      </w:r>
      <w:r w:rsidR="00361A64" w:rsidRPr="00791CDB">
        <w:rPr>
          <w:rFonts w:ascii="Georgia" w:hAnsi="Georgia"/>
          <w:bCs/>
          <w:sz w:val="24"/>
          <w:szCs w:val="24"/>
        </w:rPr>
        <w:t xml:space="preserve">and the underlying cost causation by shifting 50% of the revenue recovery for secondary transformers from the Facilities demand $/kW charge to the customer </w:t>
      </w:r>
      <w:r w:rsidR="00361A64" w:rsidRPr="00791CDB">
        <w:rPr>
          <w:rFonts w:ascii="Georgia" w:hAnsi="Georgia"/>
          <w:sz w:val="24"/>
          <w:szCs w:val="24"/>
        </w:rPr>
        <w:t xml:space="preserve">Point of Delivery (“POD”) </w:t>
      </w:r>
      <w:r w:rsidR="00361A64" w:rsidRPr="00791CDB">
        <w:rPr>
          <w:rFonts w:ascii="Georgia" w:hAnsi="Georgia"/>
          <w:bCs/>
          <w:sz w:val="24"/>
          <w:szCs w:val="24"/>
        </w:rPr>
        <w:t xml:space="preserve">charge.  </w:t>
      </w:r>
      <w:r w:rsidR="00A71016" w:rsidRPr="00791CDB">
        <w:rPr>
          <w:rFonts w:ascii="Georgia" w:hAnsi="Georgia"/>
          <w:bCs/>
          <w:sz w:val="24"/>
          <w:szCs w:val="24"/>
        </w:rPr>
        <w:t>As explained in the Rebuttal Testimony of Oncor witness Ma</w:t>
      </w:r>
      <w:r w:rsidR="00496D93" w:rsidRPr="00791CDB">
        <w:rPr>
          <w:rFonts w:ascii="Georgia" w:hAnsi="Georgia"/>
          <w:bCs/>
          <w:sz w:val="24"/>
          <w:szCs w:val="24"/>
        </w:rPr>
        <w:t>t</w:t>
      </w:r>
      <w:r w:rsidR="00A71016" w:rsidRPr="00791CDB">
        <w:rPr>
          <w:rFonts w:ascii="Georgia" w:hAnsi="Georgia"/>
          <w:bCs/>
          <w:sz w:val="24"/>
          <w:szCs w:val="24"/>
        </w:rPr>
        <w:t>the</w:t>
      </w:r>
      <w:r w:rsidR="00FF1D18" w:rsidRPr="00791CDB">
        <w:rPr>
          <w:rFonts w:ascii="Georgia" w:hAnsi="Georgia"/>
          <w:bCs/>
          <w:sz w:val="24"/>
          <w:szCs w:val="24"/>
        </w:rPr>
        <w:t>w</w:t>
      </w:r>
      <w:r w:rsidR="00496D93" w:rsidRPr="00791CDB">
        <w:rPr>
          <w:rFonts w:ascii="Georgia" w:hAnsi="Georgia"/>
          <w:bCs/>
          <w:sz w:val="24"/>
          <w:szCs w:val="24"/>
        </w:rPr>
        <w:t xml:space="preserve"> A.</w:t>
      </w:r>
      <w:r w:rsidR="00FF1D18" w:rsidRPr="00791CDB">
        <w:rPr>
          <w:rFonts w:ascii="Georgia" w:hAnsi="Georgia"/>
          <w:bCs/>
          <w:sz w:val="24"/>
          <w:szCs w:val="24"/>
        </w:rPr>
        <w:t xml:space="preserve"> Troxle, </w:t>
      </w:r>
      <w:r w:rsidR="00174412" w:rsidRPr="00791CDB">
        <w:rPr>
          <w:rFonts w:ascii="Georgia" w:hAnsi="Georgia"/>
          <w:bCs/>
          <w:sz w:val="24"/>
          <w:szCs w:val="24"/>
        </w:rPr>
        <w:t>the Company has indicated that it</w:t>
      </w:r>
      <w:r w:rsidR="00FF1D18" w:rsidRPr="00791CDB">
        <w:rPr>
          <w:rFonts w:ascii="Georgia" w:hAnsi="Georgia"/>
          <w:bCs/>
          <w:sz w:val="24"/>
          <w:szCs w:val="24"/>
        </w:rPr>
        <w:t xml:space="preserve"> does not oppose </w:t>
      </w:r>
      <w:r w:rsidR="00740DD1">
        <w:rPr>
          <w:rFonts w:ascii="Georgia" w:hAnsi="Georgia"/>
          <w:bCs/>
          <w:sz w:val="24"/>
          <w:szCs w:val="24"/>
        </w:rPr>
        <w:t>this</w:t>
      </w:r>
      <w:r w:rsidR="00FF1D18" w:rsidRPr="00791CDB">
        <w:rPr>
          <w:rFonts w:ascii="Georgia" w:hAnsi="Georgia"/>
          <w:bCs/>
          <w:sz w:val="24"/>
          <w:szCs w:val="24"/>
        </w:rPr>
        <w:t xml:space="preserve"> recommendation</w:t>
      </w:r>
      <w:r w:rsidR="00C02040" w:rsidRPr="00791CDB">
        <w:rPr>
          <w:rFonts w:ascii="Georgia" w:hAnsi="Georgia"/>
          <w:bCs/>
          <w:sz w:val="24"/>
          <w:szCs w:val="24"/>
        </w:rPr>
        <w:t>.</w:t>
      </w:r>
      <w:r w:rsidR="00C02040" w:rsidRPr="00791CDB">
        <w:rPr>
          <w:rStyle w:val="FootnoteReference"/>
          <w:rFonts w:ascii="Georgia" w:hAnsi="Georgia"/>
          <w:bCs/>
          <w:sz w:val="24"/>
          <w:szCs w:val="24"/>
        </w:rPr>
        <w:footnoteReference w:id="1"/>
      </w:r>
    </w:p>
    <w:p w14:paraId="6F8106EC" w14:textId="53963C82" w:rsidR="00AA4686" w:rsidRPr="00791CDB" w:rsidRDefault="00AA4686" w:rsidP="00146CBD">
      <w:pPr>
        <w:pStyle w:val="ListParagraph"/>
        <w:numPr>
          <w:ilvl w:val="0"/>
          <w:numId w:val="2"/>
        </w:numPr>
        <w:spacing w:after="0" w:line="480" w:lineRule="auto"/>
        <w:ind w:left="0" w:firstLine="0"/>
        <w:jc w:val="center"/>
        <w:rPr>
          <w:rFonts w:ascii="Georgia" w:hAnsi="Georgia"/>
          <w:b/>
          <w:sz w:val="24"/>
          <w:szCs w:val="24"/>
        </w:rPr>
      </w:pPr>
      <w:r w:rsidRPr="00791CDB">
        <w:rPr>
          <w:rFonts w:ascii="Georgia" w:hAnsi="Georgia"/>
          <w:b/>
          <w:sz w:val="24"/>
          <w:szCs w:val="24"/>
        </w:rPr>
        <w:t>ARGUMENT</w:t>
      </w:r>
    </w:p>
    <w:p w14:paraId="016D3EAF" w14:textId="48CA1588" w:rsidR="009E6E60" w:rsidRPr="00740DD1" w:rsidRDefault="009E6E60" w:rsidP="00146CBD">
      <w:pPr>
        <w:spacing w:before="120" w:after="240" w:line="240" w:lineRule="auto"/>
        <w:rPr>
          <w:rFonts w:ascii="Georgia" w:hAnsi="Georgia"/>
          <w:b/>
          <w:bCs/>
          <w:sz w:val="24"/>
          <w:szCs w:val="24"/>
        </w:rPr>
      </w:pPr>
      <w:r w:rsidRPr="00740DD1">
        <w:rPr>
          <w:rFonts w:ascii="Georgia" w:hAnsi="Georgia"/>
          <w:b/>
          <w:bCs/>
          <w:sz w:val="24"/>
          <w:szCs w:val="24"/>
        </w:rPr>
        <w:t>VIII. Revenue Distribution and Rate Design</w:t>
      </w:r>
    </w:p>
    <w:p w14:paraId="623EDB6B" w14:textId="77777777" w:rsidR="009E6E60" w:rsidRPr="00740DD1" w:rsidRDefault="009E6E60" w:rsidP="00146CBD">
      <w:pPr>
        <w:spacing w:before="120" w:after="240" w:line="240" w:lineRule="auto"/>
        <w:rPr>
          <w:rFonts w:ascii="Georgia" w:hAnsi="Georgia"/>
          <w:b/>
          <w:bCs/>
          <w:sz w:val="24"/>
          <w:szCs w:val="24"/>
        </w:rPr>
      </w:pPr>
      <w:r w:rsidRPr="00740DD1">
        <w:rPr>
          <w:rFonts w:ascii="Georgia" w:hAnsi="Georgia"/>
          <w:b/>
          <w:bCs/>
          <w:sz w:val="24"/>
          <w:szCs w:val="24"/>
        </w:rPr>
        <w:tab/>
        <w:t>B.</w:t>
      </w:r>
      <w:r w:rsidRPr="00740DD1">
        <w:rPr>
          <w:rFonts w:ascii="Georgia" w:hAnsi="Georgia"/>
          <w:b/>
          <w:bCs/>
          <w:sz w:val="24"/>
          <w:szCs w:val="24"/>
        </w:rPr>
        <w:tab/>
        <w:t>Rate Design and Tariff Changes [PO Issues 47, 55, 56]</w:t>
      </w:r>
    </w:p>
    <w:p w14:paraId="315606A3" w14:textId="78304580" w:rsidR="00D33B55" w:rsidRPr="00791CDB" w:rsidRDefault="00455907" w:rsidP="00146CBD">
      <w:pPr>
        <w:pStyle w:val="ListParagraph"/>
        <w:numPr>
          <w:ilvl w:val="0"/>
          <w:numId w:val="1"/>
        </w:numPr>
        <w:spacing w:before="120" w:after="240" w:line="240" w:lineRule="auto"/>
        <w:ind w:hanging="720"/>
        <w:contextualSpacing w:val="0"/>
        <w:jc w:val="both"/>
        <w:rPr>
          <w:rFonts w:ascii="Georgia" w:hAnsi="Georgia"/>
          <w:b/>
          <w:bCs/>
          <w:sz w:val="24"/>
          <w:szCs w:val="24"/>
        </w:rPr>
      </w:pPr>
      <w:r w:rsidRPr="00791CDB">
        <w:rPr>
          <w:rFonts w:ascii="Georgia" w:hAnsi="Georgia"/>
          <w:b/>
          <w:bCs/>
          <w:sz w:val="24"/>
          <w:szCs w:val="24"/>
        </w:rPr>
        <w:t xml:space="preserve">Kroger Recommends That The Commission Modify The </w:t>
      </w:r>
      <w:r w:rsidR="003244D6" w:rsidRPr="00791CDB">
        <w:rPr>
          <w:rFonts w:ascii="Georgia" w:hAnsi="Georgia"/>
          <w:b/>
          <w:bCs/>
          <w:sz w:val="24"/>
          <w:szCs w:val="24"/>
        </w:rPr>
        <w:t xml:space="preserve">Rate Design for </w:t>
      </w:r>
      <w:r w:rsidR="00C03F07">
        <w:rPr>
          <w:rFonts w:ascii="Georgia" w:hAnsi="Georgia"/>
          <w:b/>
          <w:bCs/>
          <w:sz w:val="24"/>
          <w:szCs w:val="24"/>
        </w:rPr>
        <w:t xml:space="preserve">The </w:t>
      </w:r>
      <w:r w:rsidR="003244D6" w:rsidRPr="00791CDB">
        <w:rPr>
          <w:rFonts w:ascii="Georgia" w:hAnsi="Georgia"/>
          <w:b/>
          <w:bCs/>
          <w:sz w:val="24"/>
          <w:szCs w:val="24"/>
        </w:rPr>
        <w:t>Secondary &gt;10 kW Rate Schedule</w:t>
      </w:r>
      <w:r w:rsidRPr="00791CDB">
        <w:rPr>
          <w:rFonts w:ascii="Georgia" w:hAnsi="Georgia"/>
          <w:b/>
          <w:bCs/>
          <w:sz w:val="24"/>
          <w:szCs w:val="24"/>
        </w:rPr>
        <w:t xml:space="preserve"> In Order To </w:t>
      </w:r>
      <w:r w:rsidR="009D16F0" w:rsidRPr="00791CDB">
        <w:rPr>
          <w:rFonts w:ascii="Georgia" w:hAnsi="Georgia"/>
          <w:b/>
          <w:bCs/>
          <w:sz w:val="24"/>
          <w:szCs w:val="24"/>
        </w:rPr>
        <w:t>Better Reflect Secondary Transformer Cost of Service.</w:t>
      </w:r>
    </w:p>
    <w:p w14:paraId="7025CDF8" w14:textId="4C3A3A31" w:rsidR="006C07CA" w:rsidRPr="00791CDB" w:rsidRDefault="0080493F" w:rsidP="00A0189C">
      <w:pPr>
        <w:pStyle w:val="BodyTextIndent"/>
        <w:spacing w:before="120" w:after="120" w:line="480" w:lineRule="auto"/>
        <w:ind w:left="0" w:firstLine="720"/>
        <w:jc w:val="both"/>
        <w:rPr>
          <w:rFonts w:ascii="Georgia" w:hAnsi="Georgia"/>
          <w:bCs/>
          <w:szCs w:val="24"/>
        </w:rPr>
      </w:pPr>
      <w:r w:rsidRPr="0080493F">
        <w:rPr>
          <w:rFonts w:ascii="Georgia" w:hAnsi="Georgia"/>
          <w:szCs w:val="24"/>
        </w:rPr>
        <w:t xml:space="preserve">As explained in </w:t>
      </w:r>
      <w:r>
        <w:rPr>
          <w:rFonts w:ascii="Georgia" w:hAnsi="Georgia"/>
          <w:szCs w:val="24"/>
        </w:rPr>
        <w:t xml:space="preserve">Kroger witness Justin </w:t>
      </w:r>
      <w:r w:rsidRPr="0080493F">
        <w:rPr>
          <w:rFonts w:ascii="Georgia" w:hAnsi="Georgia"/>
          <w:szCs w:val="24"/>
        </w:rPr>
        <w:t xml:space="preserve">Bieber’s Direct Testimony, </w:t>
      </w:r>
      <w:r w:rsidR="00C735BB" w:rsidRPr="00791CDB">
        <w:rPr>
          <w:rFonts w:ascii="Georgia" w:hAnsi="Georgia"/>
          <w:szCs w:val="24"/>
        </w:rPr>
        <w:t>Oncor’s cost</w:t>
      </w:r>
      <w:r w:rsidR="00AC7C5B">
        <w:rPr>
          <w:rFonts w:ascii="Georgia" w:hAnsi="Georgia"/>
          <w:szCs w:val="24"/>
        </w:rPr>
        <w:t>-</w:t>
      </w:r>
      <w:r w:rsidR="00C735BB" w:rsidRPr="00791CDB">
        <w:rPr>
          <w:rFonts w:ascii="Georgia" w:hAnsi="Georgia"/>
          <w:szCs w:val="24"/>
        </w:rPr>
        <w:t>of</w:t>
      </w:r>
      <w:r w:rsidR="00AC7C5B">
        <w:rPr>
          <w:rFonts w:ascii="Georgia" w:hAnsi="Georgia"/>
          <w:szCs w:val="24"/>
        </w:rPr>
        <w:t>-</w:t>
      </w:r>
      <w:r w:rsidR="00C735BB" w:rsidRPr="00791CDB">
        <w:rPr>
          <w:rFonts w:ascii="Georgia" w:hAnsi="Georgia"/>
          <w:szCs w:val="24"/>
        </w:rPr>
        <w:t xml:space="preserve">service methodology classifies and allocates the cost of distribution plant in FERC Accounts 364-368 exclusively based on class </w:t>
      </w:r>
      <w:r w:rsidR="00C735BB" w:rsidRPr="00791CDB">
        <w:rPr>
          <w:rFonts w:ascii="Georgia" w:hAnsi="Georgia"/>
          <w:bCs/>
          <w:szCs w:val="24"/>
        </w:rPr>
        <w:t xml:space="preserve">Non-Coincident Peak (“NCP”) </w:t>
      </w:r>
      <w:r w:rsidR="00C735BB" w:rsidRPr="00791CDB">
        <w:rPr>
          <w:rFonts w:ascii="Georgia" w:hAnsi="Georgia"/>
          <w:szCs w:val="24"/>
        </w:rPr>
        <w:t>demand, without consideration of the fact that these facilities also have a significant customer-related component.</w:t>
      </w:r>
      <w:r w:rsidR="00AC7C5B">
        <w:rPr>
          <w:rFonts w:ascii="Georgia" w:hAnsi="Georgia"/>
          <w:szCs w:val="24"/>
        </w:rPr>
        <w:t xml:space="preserve"> </w:t>
      </w:r>
      <w:r w:rsidR="00C735BB" w:rsidRPr="00791CDB">
        <w:rPr>
          <w:rFonts w:ascii="Georgia" w:hAnsi="Georgia"/>
          <w:szCs w:val="24"/>
        </w:rPr>
        <w:t xml:space="preserve"> </w:t>
      </w:r>
      <w:r w:rsidR="00662B07">
        <w:rPr>
          <w:rFonts w:ascii="Georgia" w:hAnsi="Georgia"/>
          <w:szCs w:val="24"/>
        </w:rPr>
        <w:t>T</w:t>
      </w:r>
      <w:r w:rsidR="00E75D0F" w:rsidRPr="00791CDB">
        <w:rPr>
          <w:rFonts w:ascii="Georgia" w:hAnsi="Georgia"/>
          <w:bCs/>
          <w:szCs w:val="24"/>
        </w:rPr>
        <w:t xml:space="preserve">his is problematic </w:t>
      </w:r>
      <w:r w:rsidR="00E75D0F" w:rsidRPr="00791CDB">
        <w:rPr>
          <w:rFonts w:ascii="Georgia" w:hAnsi="Georgia"/>
          <w:bCs/>
          <w:szCs w:val="24"/>
        </w:rPr>
        <w:lastRenderedPageBreak/>
        <w:t>because secondary transformers are used to step down voltages to directly serve customers and the cost causation for these facilities is primarily driven by the number of customers on the system.  Thus, it is particularly inappropriate to classify secondary transformer costs as 100% demand-related.</w:t>
      </w:r>
      <w:r w:rsidR="00E75D0F" w:rsidRPr="00791CDB">
        <w:rPr>
          <w:rStyle w:val="FootnoteReference"/>
          <w:rFonts w:ascii="Georgia" w:hAnsi="Georgia"/>
          <w:bCs/>
          <w:szCs w:val="24"/>
        </w:rPr>
        <w:footnoteReference w:id="2"/>
      </w:r>
      <w:r w:rsidR="001A5C75" w:rsidRPr="00791CDB">
        <w:rPr>
          <w:rFonts w:ascii="Georgia" w:hAnsi="Georgia"/>
          <w:bCs/>
          <w:szCs w:val="24"/>
        </w:rPr>
        <w:t xml:space="preserve"> </w:t>
      </w:r>
      <w:r w:rsidR="001D4D53" w:rsidRPr="00791CDB">
        <w:rPr>
          <w:rFonts w:ascii="Georgia" w:hAnsi="Georgia"/>
          <w:bCs/>
          <w:szCs w:val="24"/>
        </w:rPr>
        <w:t xml:space="preserve"> </w:t>
      </w:r>
    </w:p>
    <w:p w14:paraId="7A88CE0A" w14:textId="69319E0E" w:rsidR="00566CD6" w:rsidRPr="00791CDB" w:rsidRDefault="001D4D53" w:rsidP="00662341">
      <w:pPr>
        <w:pStyle w:val="BodyTextIndent"/>
        <w:spacing w:line="480" w:lineRule="auto"/>
        <w:ind w:left="0" w:firstLine="720"/>
        <w:jc w:val="both"/>
        <w:rPr>
          <w:rFonts w:ascii="Georgia" w:hAnsi="Georgia"/>
          <w:bCs/>
          <w:szCs w:val="24"/>
        </w:rPr>
      </w:pPr>
      <w:r w:rsidRPr="00791CDB">
        <w:rPr>
          <w:rFonts w:ascii="Georgia" w:hAnsi="Georgia"/>
          <w:bCs/>
          <w:szCs w:val="24"/>
        </w:rPr>
        <w:t xml:space="preserve">Mr. Bieber’s </w:t>
      </w:r>
      <w:r w:rsidR="006C07CA" w:rsidRPr="00791CDB">
        <w:rPr>
          <w:rFonts w:ascii="Georgia" w:hAnsi="Georgia"/>
          <w:bCs/>
          <w:szCs w:val="24"/>
        </w:rPr>
        <w:t>position</w:t>
      </w:r>
      <w:r w:rsidR="00D16F7D">
        <w:rPr>
          <w:rFonts w:ascii="Georgia" w:hAnsi="Georgia"/>
          <w:bCs/>
          <w:szCs w:val="24"/>
        </w:rPr>
        <w:t>,</w:t>
      </w:r>
      <w:r w:rsidR="006C07CA" w:rsidRPr="00791CDB">
        <w:rPr>
          <w:rFonts w:ascii="Georgia" w:hAnsi="Georgia"/>
          <w:bCs/>
          <w:szCs w:val="24"/>
        </w:rPr>
        <w:t xml:space="preserve"> that </w:t>
      </w:r>
      <w:r w:rsidR="00566CD6" w:rsidRPr="00791CDB">
        <w:rPr>
          <w:rFonts w:ascii="Georgia" w:hAnsi="Georgia"/>
          <w:bCs/>
          <w:szCs w:val="24"/>
        </w:rPr>
        <w:t xml:space="preserve">a portion of distribution plant accounts 364 through 368 </w:t>
      </w:r>
      <w:r w:rsidR="00662341" w:rsidRPr="00791CDB">
        <w:rPr>
          <w:rFonts w:ascii="Georgia" w:hAnsi="Georgia"/>
          <w:bCs/>
          <w:szCs w:val="24"/>
        </w:rPr>
        <w:t xml:space="preserve">should be classified </w:t>
      </w:r>
      <w:r w:rsidR="00566CD6" w:rsidRPr="00791CDB">
        <w:rPr>
          <w:rFonts w:ascii="Georgia" w:hAnsi="Georgia"/>
          <w:bCs/>
          <w:szCs w:val="24"/>
        </w:rPr>
        <w:t>as customer-related</w:t>
      </w:r>
      <w:r w:rsidR="00D16F7D">
        <w:rPr>
          <w:rFonts w:ascii="Georgia" w:hAnsi="Georgia"/>
          <w:bCs/>
          <w:szCs w:val="24"/>
        </w:rPr>
        <w:t>,</w:t>
      </w:r>
      <w:r w:rsidRPr="00791CDB">
        <w:rPr>
          <w:rFonts w:ascii="Georgia" w:hAnsi="Georgia"/>
          <w:bCs/>
          <w:szCs w:val="24"/>
        </w:rPr>
        <w:t xml:space="preserve"> is</w:t>
      </w:r>
      <w:r w:rsidR="00566CD6" w:rsidRPr="00791CDB">
        <w:rPr>
          <w:rFonts w:ascii="Georgia" w:hAnsi="Georgia"/>
          <w:bCs/>
          <w:szCs w:val="24"/>
        </w:rPr>
        <w:t xml:space="preserve"> consistent with the recommended treatment of these costs as presented in the National Association of Regulatory Utility Commissioners Electric Utility Cost Allocation Manual (“NARUC Manual”)</w:t>
      </w:r>
      <w:r w:rsidR="00662341" w:rsidRPr="00791CDB">
        <w:rPr>
          <w:rFonts w:ascii="Georgia" w:hAnsi="Georgia"/>
          <w:bCs/>
          <w:szCs w:val="24"/>
        </w:rPr>
        <w:t xml:space="preserve">.  </w:t>
      </w:r>
      <w:r w:rsidR="00566CD6" w:rsidRPr="00791CDB">
        <w:rPr>
          <w:rFonts w:ascii="Georgia" w:hAnsi="Georgia"/>
          <w:bCs/>
          <w:szCs w:val="24"/>
        </w:rPr>
        <w:t xml:space="preserve">Regarding the allocation of distribution costs, the </w:t>
      </w:r>
      <w:r w:rsidR="00A40A0A">
        <w:rPr>
          <w:rFonts w:ascii="Georgia" w:hAnsi="Georgia"/>
          <w:bCs/>
          <w:szCs w:val="24"/>
        </w:rPr>
        <w:t xml:space="preserve">NARUC </w:t>
      </w:r>
      <w:r w:rsidR="006127E4">
        <w:rPr>
          <w:rFonts w:ascii="Georgia" w:hAnsi="Georgia"/>
          <w:bCs/>
          <w:szCs w:val="24"/>
        </w:rPr>
        <w:t>M</w:t>
      </w:r>
      <w:r w:rsidR="00566CD6" w:rsidRPr="00791CDB">
        <w:rPr>
          <w:rFonts w:ascii="Georgia" w:hAnsi="Georgia"/>
          <w:bCs/>
          <w:szCs w:val="24"/>
        </w:rPr>
        <w:t>anual states: “</w:t>
      </w:r>
      <w:r w:rsidR="00566CD6" w:rsidRPr="00791CDB">
        <w:rPr>
          <w:rFonts w:ascii="Georgia" w:hAnsi="Georgia"/>
          <w:bCs/>
          <w:i/>
          <w:iCs/>
          <w:szCs w:val="24"/>
        </w:rPr>
        <w:t xml:space="preserve">Distribution Plant Accounts 364 through 370 </w:t>
      </w:r>
      <w:bookmarkStart w:id="1" w:name="_Hlk111637143"/>
      <w:r w:rsidR="00566CD6" w:rsidRPr="00791CDB">
        <w:rPr>
          <w:rFonts w:ascii="Georgia" w:hAnsi="Georgia"/>
          <w:bCs/>
          <w:i/>
          <w:iCs/>
          <w:szCs w:val="24"/>
        </w:rPr>
        <w:t xml:space="preserve">involve demand </w:t>
      </w:r>
      <w:r w:rsidR="00566CD6" w:rsidRPr="00791CDB">
        <w:rPr>
          <w:rFonts w:ascii="Georgia" w:hAnsi="Georgia"/>
          <w:bCs/>
          <w:i/>
          <w:iCs/>
          <w:szCs w:val="24"/>
          <w:u w:val="single"/>
        </w:rPr>
        <w:t>and</w:t>
      </w:r>
      <w:r w:rsidR="00566CD6" w:rsidRPr="00791CDB">
        <w:rPr>
          <w:rFonts w:ascii="Georgia" w:hAnsi="Georgia"/>
          <w:bCs/>
          <w:i/>
          <w:iCs/>
          <w:szCs w:val="24"/>
        </w:rPr>
        <w:t xml:space="preserve"> customer costs. </w:t>
      </w:r>
      <w:bookmarkEnd w:id="1"/>
      <w:r w:rsidR="00566CD6" w:rsidRPr="00791CDB">
        <w:rPr>
          <w:rFonts w:ascii="Georgia" w:hAnsi="Georgia"/>
          <w:bCs/>
          <w:i/>
          <w:iCs/>
          <w:szCs w:val="24"/>
        </w:rPr>
        <w:t>The customer component of distribution facilities is that portion of costs which varies with the number of customers</w:t>
      </w:r>
      <w:r w:rsidR="00566CD6" w:rsidRPr="00791CDB">
        <w:rPr>
          <w:rFonts w:ascii="Georgia" w:hAnsi="Georgia"/>
          <w:bCs/>
          <w:szCs w:val="24"/>
        </w:rPr>
        <w:t>.”</w:t>
      </w:r>
      <w:r w:rsidR="00566CD6" w:rsidRPr="00791CDB">
        <w:rPr>
          <w:rStyle w:val="FootnoteReference"/>
          <w:rFonts w:ascii="Georgia" w:hAnsi="Georgia"/>
          <w:bCs/>
          <w:szCs w:val="24"/>
        </w:rPr>
        <w:footnoteReference w:id="3"/>
      </w:r>
    </w:p>
    <w:p w14:paraId="0AEBA6A4" w14:textId="3432B358" w:rsidR="00480E50" w:rsidRPr="00791CDB" w:rsidRDefault="00662341" w:rsidP="00FA070F">
      <w:pPr>
        <w:pStyle w:val="BodyTextIndent"/>
        <w:spacing w:before="120" w:after="120" w:line="480" w:lineRule="auto"/>
        <w:ind w:left="0" w:firstLine="720"/>
        <w:jc w:val="both"/>
        <w:rPr>
          <w:rFonts w:ascii="Georgia" w:hAnsi="Georgia"/>
          <w:szCs w:val="24"/>
        </w:rPr>
      </w:pPr>
      <w:r w:rsidRPr="00791CDB">
        <w:rPr>
          <w:rFonts w:ascii="Georgia" w:hAnsi="Georgia"/>
          <w:szCs w:val="24"/>
        </w:rPr>
        <w:t xml:space="preserve">Mr. Bieber </w:t>
      </w:r>
      <w:r w:rsidR="00480E50" w:rsidRPr="00791CDB">
        <w:rPr>
          <w:rFonts w:ascii="Georgia" w:hAnsi="Georgia"/>
          <w:szCs w:val="24"/>
        </w:rPr>
        <w:t>stated that a</w:t>
      </w:r>
      <w:r w:rsidR="00C735BB" w:rsidRPr="00791CDB">
        <w:rPr>
          <w:rFonts w:ascii="Georgia" w:hAnsi="Georgia"/>
          <w:szCs w:val="24"/>
        </w:rPr>
        <w:t xml:space="preserve">lthough </w:t>
      </w:r>
      <w:r w:rsidR="00480E50" w:rsidRPr="00791CDB">
        <w:rPr>
          <w:rFonts w:ascii="Georgia" w:hAnsi="Georgia"/>
          <w:szCs w:val="24"/>
        </w:rPr>
        <w:t>he</w:t>
      </w:r>
      <w:r w:rsidR="00C735BB" w:rsidRPr="00791CDB">
        <w:rPr>
          <w:rFonts w:ascii="Georgia" w:hAnsi="Georgia"/>
          <w:szCs w:val="24"/>
        </w:rPr>
        <w:t xml:space="preserve"> disagree</w:t>
      </w:r>
      <w:r w:rsidR="00480E50" w:rsidRPr="00791CDB">
        <w:rPr>
          <w:rFonts w:ascii="Georgia" w:hAnsi="Georgia"/>
          <w:szCs w:val="24"/>
        </w:rPr>
        <w:t>s</w:t>
      </w:r>
      <w:r w:rsidR="00C735BB" w:rsidRPr="00791CDB">
        <w:rPr>
          <w:rFonts w:ascii="Georgia" w:hAnsi="Georgia"/>
          <w:szCs w:val="24"/>
        </w:rPr>
        <w:t xml:space="preserve"> with Oncor’s classification of distribution plant in accounts 364 through 368 as 100% demand-related, </w:t>
      </w:r>
      <w:r w:rsidR="00480E50" w:rsidRPr="00791CDB">
        <w:rPr>
          <w:rFonts w:ascii="Georgia" w:hAnsi="Georgia"/>
          <w:szCs w:val="24"/>
        </w:rPr>
        <w:t>he does</w:t>
      </w:r>
      <w:r w:rsidR="00AE6789" w:rsidRPr="00791CDB">
        <w:rPr>
          <w:rFonts w:ascii="Georgia" w:hAnsi="Georgia"/>
          <w:szCs w:val="24"/>
        </w:rPr>
        <w:t xml:space="preserve"> </w:t>
      </w:r>
      <w:r w:rsidR="00FD502E">
        <w:rPr>
          <w:rFonts w:ascii="Georgia" w:hAnsi="Georgia"/>
          <w:szCs w:val="24"/>
        </w:rPr>
        <w:t xml:space="preserve">not </w:t>
      </w:r>
      <w:r w:rsidR="00AE6789" w:rsidRPr="00791CDB">
        <w:rPr>
          <w:rFonts w:ascii="Georgia" w:hAnsi="Georgia"/>
          <w:szCs w:val="24"/>
        </w:rPr>
        <w:t>necessarily</w:t>
      </w:r>
      <w:r w:rsidR="00480E50" w:rsidRPr="00791CDB">
        <w:rPr>
          <w:rFonts w:ascii="Georgia" w:hAnsi="Georgia"/>
          <w:szCs w:val="24"/>
        </w:rPr>
        <w:t xml:space="preserve"> recommend</w:t>
      </w:r>
      <w:r w:rsidR="00C735BB" w:rsidRPr="00791CDB">
        <w:rPr>
          <w:rFonts w:ascii="Georgia" w:hAnsi="Georgia"/>
          <w:szCs w:val="24"/>
        </w:rPr>
        <w:t xml:space="preserve"> any changes to the class cost allocation in this case</w:t>
      </w:r>
      <w:r w:rsidR="00480E50" w:rsidRPr="00791CDB">
        <w:rPr>
          <w:rFonts w:ascii="Georgia" w:hAnsi="Georgia"/>
          <w:szCs w:val="24"/>
        </w:rPr>
        <w:t xml:space="preserve"> as a result of this misallocation, because this would require a reallocation of costs between the customers classes that would have a significant impact on all customers.</w:t>
      </w:r>
      <w:r w:rsidR="00FD502E">
        <w:rPr>
          <w:rStyle w:val="FootnoteReference"/>
          <w:rFonts w:ascii="Georgia" w:hAnsi="Georgia"/>
          <w:szCs w:val="24"/>
        </w:rPr>
        <w:footnoteReference w:id="4"/>
      </w:r>
      <w:r w:rsidR="00480E50" w:rsidRPr="00791CDB">
        <w:rPr>
          <w:rFonts w:ascii="Georgia" w:hAnsi="Georgia"/>
          <w:szCs w:val="24"/>
        </w:rPr>
        <w:t xml:space="preserve"> </w:t>
      </w:r>
      <w:r w:rsidR="00C735BB" w:rsidRPr="00791CDB">
        <w:rPr>
          <w:rFonts w:ascii="Georgia" w:hAnsi="Georgia"/>
          <w:szCs w:val="24"/>
        </w:rPr>
        <w:t xml:space="preserve"> However, </w:t>
      </w:r>
      <w:r w:rsidR="00480E50" w:rsidRPr="00791CDB">
        <w:rPr>
          <w:rFonts w:ascii="Georgia" w:hAnsi="Georgia"/>
          <w:szCs w:val="24"/>
        </w:rPr>
        <w:t xml:space="preserve">Kroger believes that it is important to take the smaller step of acknowledging </w:t>
      </w:r>
      <w:r w:rsidR="00DF6795" w:rsidRPr="00791CDB">
        <w:rPr>
          <w:rFonts w:ascii="Georgia" w:hAnsi="Georgia"/>
          <w:szCs w:val="24"/>
        </w:rPr>
        <w:t xml:space="preserve">the customer component of these costs by </w:t>
      </w:r>
      <w:r w:rsidR="00162151" w:rsidRPr="00791CDB">
        <w:rPr>
          <w:rFonts w:ascii="Georgia" w:hAnsi="Georgia"/>
          <w:szCs w:val="24"/>
        </w:rPr>
        <w:t xml:space="preserve">adjusting </w:t>
      </w:r>
      <w:r w:rsidR="00C735BB" w:rsidRPr="00791CDB">
        <w:rPr>
          <w:rFonts w:ascii="Georgia" w:hAnsi="Georgia"/>
          <w:szCs w:val="24"/>
        </w:rPr>
        <w:t xml:space="preserve">Oncor’s rate design for the Secondary &gt; 10 kW rate schedule </w:t>
      </w:r>
      <w:r w:rsidR="00162151" w:rsidRPr="00791CDB">
        <w:rPr>
          <w:rFonts w:ascii="Georgia" w:hAnsi="Georgia"/>
          <w:szCs w:val="24"/>
        </w:rPr>
        <w:t>in order to</w:t>
      </w:r>
      <w:r w:rsidR="00C735BB" w:rsidRPr="00791CDB">
        <w:rPr>
          <w:rFonts w:ascii="Georgia" w:hAnsi="Georgia"/>
          <w:szCs w:val="24"/>
        </w:rPr>
        <w:t xml:space="preserve"> recover a portion of secondary transformer costs through the customer charge.</w:t>
      </w:r>
      <w:r w:rsidR="00FB1693">
        <w:rPr>
          <w:rFonts w:ascii="Georgia" w:hAnsi="Georgia"/>
          <w:szCs w:val="24"/>
        </w:rPr>
        <w:t xml:space="preserve"> </w:t>
      </w:r>
      <w:r w:rsidR="00C735BB" w:rsidRPr="00791CDB">
        <w:rPr>
          <w:rFonts w:ascii="Georgia" w:hAnsi="Georgia"/>
          <w:szCs w:val="24"/>
        </w:rPr>
        <w:t xml:space="preserve"> </w:t>
      </w:r>
      <w:r w:rsidR="00162151" w:rsidRPr="00791CDB">
        <w:rPr>
          <w:rFonts w:ascii="Georgia" w:hAnsi="Georgia"/>
          <w:szCs w:val="24"/>
        </w:rPr>
        <w:t>Again, t</w:t>
      </w:r>
      <w:r w:rsidR="00C735BB" w:rsidRPr="00791CDB">
        <w:rPr>
          <w:rFonts w:ascii="Georgia" w:hAnsi="Georgia"/>
          <w:szCs w:val="24"/>
        </w:rPr>
        <w:t xml:space="preserve">he need for secondary transformers is primarily driven by the number of customers on the system, and therefore, it is appropriate to recover a portion of </w:t>
      </w:r>
      <w:r w:rsidR="00C735BB" w:rsidRPr="00791CDB">
        <w:rPr>
          <w:rFonts w:ascii="Georgia" w:hAnsi="Georgia"/>
          <w:szCs w:val="24"/>
        </w:rPr>
        <w:lastRenderedPageBreak/>
        <w:t xml:space="preserve">these costs through the </w:t>
      </w:r>
      <w:r w:rsidR="00361A64" w:rsidRPr="00791CDB">
        <w:rPr>
          <w:rFonts w:ascii="Georgia" w:hAnsi="Georgia"/>
          <w:szCs w:val="24"/>
        </w:rPr>
        <w:t>POD</w:t>
      </w:r>
      <w:r w:rsidR="00C735BB" w:rsidRPr="00791CDB">
        <w:rPr>
          <w:rFonts w:ascii="Georgia" w:hAnsi="Georgia"/>
          <w:szCs w:val="24"/>
        </w:rPr>
        <w:t xml:space="preserve"> customer charge.  </w:t>
      </w:r>
      <w:r w:rsidR="003A47D8" w:rsidRPr="00791CDB">
        <w:rPr>
          <w:rFonts w:ascii="Georgia" w:hAnsi="Georgia"/>
          <w:szCs w:val="24"/>
        </w:rPr>
        <w:t xml:space="preserve">Kroger’s </w:t>
      </w:r>
      <w:r w:rsidR="00C735BB" w:rsidRPr="00791CDB">
        <w:rPr>
          <w:rFonts w:ascii="Georgia" w:hAnsi="Georgia"/>
          <w:szCs w:val="24"/>
        </w:rPr>
        <w:t>recommended modifications to the Secondary &gt; 10 kW rate schedule would be revenue neutral to the Company and would not have any impact on the cost or revenue allocation between rate schedules.</w:t>
      </w:r>
    </w:p>
    <w:p w14:paraId="1C5687F8" w14:textId="77777777" w:rsidR="00FB1693" w:rsidRDefault="00480E50" w:rsidP="00FA070F">
      <w:pPr>
        <w:pStyle w:val="BodyTextIndent"/>
        <w:spacing w:before="120" w:after="120" w:line="480" w:lineRule="auto"/>
        <w:ind w:left="0" w:firstLine="0"/>
        <w:jc w:val="both"/>
        <w:rPr>
          <w:rFonts w:ascii="Georgia" w:hAnsi="Georgia"/>
          <w:b/>
          <w:szCs w:val="24"/>
        </w:rPr>
      </w:pPr>
      <w:r w:rsidRPr="00791CDB">
        <w:rPr>
          <w:rFonts w:ascii="Georgia" w:hAnsi="Georgia"/>
          <w:bCs/>
          <w:szCs w:val="24"/>
        </w:rPr>
        <w:tab/>
      </w:r>
      <w:r w:rsidR="005C11D8">
        <w:rPr>
          <w:rFonts w:ascii="Georgia" w:hAnsi="Georgia"/>
          <w:bCs/>
          <w:szCs w:val="24"/>
        </w:rPr>
        <w:t xml:space="preserve">As further explained by Mr. Bieber, </w:t>
      </w:r>
      <w:r w:rsidR="00F30062">
        <w:rPr>
          <w:rFonts w:ascii="Georgia" w:hAnsi="Georgia"/>
          <w:bCs/>
          <w:szCs w:val="24"/>
        </w:rPr>
        <w:t>a</w:t>
      </w:r>
      <w:r w:rsidRPr="00791CDB">
        <w:rPr>
          <w:rFonts w:ascii="Georgia" w:hAnsi="Georgia"/>
          <w:bCs/>
          <w:szCs w:val="24"/>
        </w:rPr>
        <w:t xml:space="preserve">ligning rate design with underlying cost causation improves efficiency because it sends proper price signals. </w:t>
      </w:r>
      <w:r w:rsidR="00FB1693">
        <w:rPr>
          <w:rFonts w:ascii="Georgia" w:hAnsi="Georgia"/>
          <w:bCs/>
          <w:szCs w:val="24"/>
        </w:rPr>
        <w:t xml:space="preserve"> </w:t>
      </w:r>
      <w:r w:rsidRPr="00791CDB">
        <w:rPr>
          <w:rFonts w:ascii="Georgia" w:hAnsi="Georgia"/>
          <w:bCs/>
          <w:szCs w:val="24"/>
        </w:rPr>
        <w:t>Further, aligning rate design with underlying cost causation is important for ensuring equity among customers, because properly aligning charges with costs minimizes cross-subsidies among customers.</w:t>
      </w:r>
      <w:r w:rsidR="005C11D8">
        <w:rPr>
          <w:rStyle w:val="FootnoteReference"/>
          <w:rFonts w:ascii="Georgia" w:hAnsi="Georgia"/>
          <w:bCs/>
          <w:szCs w:val="24"/>
        </w:rPr>
        <w:footnoteReference w:id="5"/>
      </w:r>
      <w:r w:rsidR="00FB1693">
        <w:rPr>
          <w:rFonts w:ascii="Georgia" w:hAnsi="Georgia"/>
          <w:b/>
          <w:szCs w:val="24"/>
        </w:rPr>
        <w:t xml:space="preserve">  </w:t>
      </w:r>
    </w:p>
    <w:p w14:paraId="1A82F2CF" w14:textId="068CE863" w:rsidR="00480E50" w:rsidRPr="00F30062" w:rsidRDefault="00480E50" w:rsidP="00FB1693">
      <w:pPr>
        <w:pStyle w:val="BodyTextIndent"/>
        <w:spacing w:before="120" w:after="120" w:line="480" w:lineRule="auto"/>
        <w:ind w:left="0" w:firstLine="720"/>
        <w:jc w:val="both"/>
        <w:rPr>
          <w:rFonts w:ascii="Georgia" w:hAnsi="Georgia"/>
          <w:b/>
          <w:szCs w:val="24"/>
        </w:rPr>
      </w:pPr>
      <w:r w:rsidRPr="00791CDB">
        <w:rPr>
          <w:rFonts w:ascii="Georgia" w:hAnsi="Georgia"/>
          <w:bCs/>
          <w:szCs w:val="24"/>
        </w:rPr>
        <w:t xml:space="preserve">Ideally, the Facilities demand charges and POD customer charges would be completely aligned with the respective underlying cost components. </w:t>
      </w:r>
      <w:r w:rsidR="00FB1693">
        <w:rPr>
          <w:rFonts w:ascii="Georgia" w:hAnsi="Georgia"/>
          <w:bCs/>
          <w:szCs w:val="24"/>
        </w:rPr>
        <w:t xml:space="preserve"> </w:t>
      </w:r>
      <w:r w:rsidRPr="00791CDB">
        <w:rPr>
          <w:rFonts w:ascii="Georgia" w:hAnsi="Georgia"/>
          <w:bCs/>
          <w:szCs w:val="24"/>
        </w:rPr>
        <w:t>However, in some circumstances, full movement towards cost-based rates in a single step should be tempered in order to mitigate potential intra-class rate impacts and take into consideration the well-accepted rate making principle of gradualism.</w:t>
      </w:r>
      <w:r w:rsidR="0037217C">
        <w:rPr>
          <w:rStyle w:val="FootnoteReference"/>
          <w:rFonts w:ascii="Georgia" w:hAnsi="Georgia"/>
          <w:bCs/>
          <w:szCs w:val="24"/>
        </w:rPr>
        <w:footnoteReference w:id="6"/>
      </w:r>
      <w:r w:rsidRPr="00791CDB">
        <w:rPr>
          <w:rFonts w:ascii="Georgia" w:hAnsi="Georgia"/>
          <w:bCs/>
          <w:szCs w:val="24"/>
        </w:rPr>
        <w:t xml:space="preserve"> </w:t>
      </w:r>
      <w:r w:rsidR="00FB1693">
        <w:rPr>
          <w:rFonts w:ascii="Georgia" w:hAnsi="Georgia"/>
          <w:bCs/>
          <w:szCs w:val="24"/>
        </w:rPr>
        <w:t xml:space="preserve"> </w:t>
      </w:r>
      <w:r w:rsidRPr="00791CDB">
        <w:rPr>
          <w:rFonts w:ascii="Georgia" w:hAnsi="Georgia"/>
          <w:bCs/>
          <w:szCs w:val="24"/>
        </w:rPr>
        <w:t xml:space="preserve">Therefore, </w:t>
      </w:r>
      <w:r w:rsidR="00E613C1" w:rsidRPr="00791CDB">
        <w:rPr>
          <w:rFonts w:ascii="Georgia" w:hAnsi="Georgia"/>
          <w:bCs/>
          <w:szCs w:val="24"/>
        </w:rPr>
        <w:t>Mr. Bieber proposed a</w:t>
      </w:r>
      <w:r w:rsidRPr="00791CDB">
        <w:rPr>
          <w:rFonts w:ascii="Georgia" w:hAnsi="Georgia"/>
          <w:bCs/>
          <w:szCs w:val="24"/>
        </w:rPr>
        <w:t xml:space="preserve"> moderate change to the Secondary &gt; 10 kW rate design to improve the alignment between rates and the underlying cost causation by shifting 50% of the revenue recovery for secondary transformers from the Facilities demand $/kW charge to the customer POD charge.  </w:t>
      </w:r>
      <w:r w:rsidR="00E613C1" w:rsidRPr="00791CDB">
        <w:rPr>
          <w:rFonts w:ascii="Georgia" w:hAnsi="Georgia"/>
          <w:bCs/>
          <w:szCs w:val="24"/>
        </w:rPr>
        <w:t>Kroger’s</w:t>
      </w:r>
      <w:r w:rsidRPr="00791CDB">
        <w:rPr>
          <w:rFonts w:ascii="Georgia" w:hAnsi="Georgia"/>
          <w:bCs/>
          <w:szCs w:val="24"/>
        </w:rPr>
        <w:t xml:space="preserve"> recommended modification to the Secondary &gt; 10 kW rate design would decrease the Facilities $/kW charge and make a corresponding revenue neutral increase to the Other Services component of the POD charge.</w:t>
      </w:r>
      <w:r w:rsidR="006011A6">
        <w:rPr>
          <w:rStyle w:val="FootnoteReference"/>
          <w:rFonts w:ascii="Georgia" w:hAnsi="Georgia"/>
          <w:bCs/>
          <w:szCs w:val="24"/>
        </w:rPr>
        <w:footnoteReference w:id="7"/>
      </w:r>
      <w:r w:rsidRPr="00791CDB">
        <w:rPr>
          <w:rFonts w:ascii="Georgia" w:hAnsi="Georgia"/>
          <w:bCs/>
          <w:szCs w:val="24"/>
        </w:rPr>
        <w:t xml:space="preserve"> </w:t>
      </w:r>
      <w:r w:rsidR="00FB1693">
        <w:rPr>
          <w:rFonts w:ascii="Georgia" w:hAnsi="Georgia"/>
          <w:bCs/>
          <w:szCs w:val="24"/>
        </w:rPr>
        <w:t xml:space="preserve"> </w:t>
      </w:r>
      <w:r w:rsidR="00E613C1" w:rsidRPr="00791CDB">
        <w:rPr>
          <w:rFonts w:ascii="Georgia" w:hAnsi="Georgia"/>
          <w:bCs/>
          <w:szCs w:val="24"/>
        </w:rPr>
        <w:t>Kroger’s</w:t>
      </w:r>
      <w:r w:rsidRPr="00791CDB">
        <w:rPr>
          <w:rFonts w:ascii="Georgia" w:hAnsi="Georgia"/>
          <w:bCs/>
          <w:szCs w:val="24"/>
        </w:rPr>
        <w:t xml:space="preserve"> proposed revenue neutral rate design for rate Secondary &gt; 10 kW is summarized in Table JB-1 below.  The revenue verification for proposed rate design is provided in Exhibit JB-1.</w:t>
      </w:r>
    </w:p>
    <w:p w14:paraId="510509D8" w14:textId="77777777" w:rsidR="00146CBD" w:rsidRDefault="00146CBD">
      <w:pPr>
        <w:rPr>
          <w:rFonts w:ascii="Georgia" w:eastAsia="Times New Roman" w:hAnsi="Georgia" w:cs="Times New Roman"/>
          <w:b/>
          <w:sz w:val="24"/>
          <w:szCs w:val="24"/>
        </w:rPr>
      </w:pPr>
      <w:r>
        <w:rPr>
          <w:rFonts w:ascii="Georgia" w:hAnsi="Georgia"/>
          <w:b/>
          <w:szCs w:val="24"/>
        </w:rPr>
        <w:br w:type="page"/>
      </w:r>
    </w:p>
    <w:p w14:paraId="2CA9B8DB" w14:textId="49DA2688" w:rsidR="00480E50" w:rsidRPr="00791CDB" w:rsidRDefault="00480E50" w:rsidP="00480E50">
      <w:pPr>
        <w:pStyle w:val="BodyTextIndent"/>
        <w:ind w:left="720" w:hanging="720"/>
        <w:jc w:val="center"/>
        <w:rPr>
          <w:rFonts w:ascii="Georgia" w:hAnsi="Georgia"/>
          <w:b/>
          <w:szCs w:val="24"/>
        </w:rPr>
      </w:pPr>
      <w:r w:rsidRPr="00791CDB">
        <w:rPr>
          <w:rFonts w:ascii="Georgia" w:hAnsi="Georgia"/>
          <w:b/>
          <w:szCs w:val="24"/>
        </w:rPr>
        <w:lastRenderedPageBreak/>
        <w:t>Table JB-1</w:t>
      </w:r>
      <w:r w:rsidR="006011A6">
        <w:rPr>
          <w:rStyle w:val="FootnoteReference"/>
          <w:rFonts w:ascii="Georgia" w:hAnsi="Georgia"/>
          <w:b/>
          <w:szCs w:val="24"/>
        </w:rPr>
        <w:footnoteReference w:id="8"/>
      </w:r>
    </w:p>
    <w:p w14:paraId="0625723E" w14:textId="77777777" w:rsidR="00480E50" w:rsidRPr="00791CDB" w:rsidRDefault="00480E50" w:rsidP="00480E50">
      <w:pPr>
        <w:pStyle w:val="BodyTextIndent"/>
        <w:ind w:left="720" w:hanging="720"/>
        <w:jc w:val="center"/>
        <w:rPr>
          <w:rFonts w:ascii="Georgia" w:hAnsi="Georgia"/>
          <w:b/>
          <w:szCs w:val="24"/>
        </w:rPr>
      </w:pPr>
      <w:r w:rsidRPr="00791CDB">
        <w:rPr>
          <w:rFonts w:ascii="Georgia" w:hAnsi="Georgia"/>
          <w:b/>
          <w:szCs w:val="24"/>
        </w:rPr>
        <w:t>Kroger Recommended Secondary &gt; 10 kW Rate Design</w:t>
      </w:r>
    </w:p>
    <w:p w14:paraId="659C6F57" w14:textId="77777777" w:rsidR="00480E50" w:rsidRPr="00791CDB" w:rsidRDefault="00480E50" w:rsidP="00FB1693">
      <w:pPr>
        <w:pStyle w:val="BodyTextIndent"/>
        <w:spacing w:after="240"/>
        <w:ind w:left="720" w:hanging="720"/>
        <w:jc w:val="center"/>
        <w:rPr>
          <w:rFonts w:ascii="Georgia" w:hAnsi="Georgia"/>
          <w:b/>
          <w:szCs w:val="24"/>
        </w:rPr>
      </w:pPr>
      <w:r w:rsidRPr="00791CDB">
        <w:rPr>
          <w:rFonts w:ascii="Georgia" w:hAnsi="Georgia"/>
          <w:b/>
          <w:szCs w:val="24"/>
        </w:rPr>
        <w:t>At Oncor’s Proposed Revenue Requirement</w:t>
      </w:r>
    </w:p>
    <w:p w14:paraId="7EB1F778" w14:textId="3BF0DCE6" w:rsidR="00480E50" w:rsidRPr="00791CDB" w:rsidRDefault="00480E50" w:rsidP="00146CBD">
      <w:pPr>
        <w:pStyle w:val="BodyTextIndent"/>
        <w:pBdr>
          <w:top w:val="single" w:sz="4" w:space="1" w:color="auto"/>
          <w:left w:val="single" w:sz="4" w:space="4" w:color="auto"/>
          <w:bottom w:val="single" w:sz="4" w:space="1" w:color="auto"/>
          <w:right w:val="single" w:sz="4" w:space="4" w:color="auto"/>
        </w:pBdr>
        <w:spacing w:line="480" w:lineRule="auto"/>
        <w:ind w:left="720" w:right="720" w:firstLine="0"/>
        <w:jc w:val="center"/>
        <w:rPr>
          <w:rFonts w:ascii="Georgia" w:hAnsi="Georgia"/>
          <w:bCs/>
          <w:i/>
          <w:iCs/>
          <w:szCs w:val="24"/>
        </w:rPr>
      </w:pPr>
      <w:r w:rsidRPr="00791CDB">
        <w:rPr>
          <w:rFonts w:ascii="Georgia" w:hAnsi="Georgia"/>
          <w:noProof/>
          <w:szCs w:val="24"/>
        </w:rPr>
        <w:drawing>
          <wp:inline distT="0" distB="0" distL="0" distR="0" wp14:anchorId="4E7DAE5D" wp14:editId="704F3146">
            <wp:extent cx="4524375" cy="609600"/>
            <wp:effectExtent l="0" t="0" r="0"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24375" cy="609600"/>
                    </a:xfrm>
                    <a:prstGeom prst="rect">
                      <a:avLst/>
                    </a:prstGeom>
                    <a:noFill/>
                    <a:ln>
                      <a:noFill/>
                    </a:ln>
                  </pic:spPr>
                </pic:pic>
              </a:graphicData>
            </a:graphic>
          </wp:inline>
        </w:drawing>
      </w:r>
    </w:p>
    <w:p w14:paraId="2A28C708" w14:textId="2F2B2FC0" w:rsidR="00026287" w:rsidRPr="00791CDB" w:rsidRDefault="00E613C1" w:rsidP="00FB1693">
      <w:pPr>
        <w:pStyle w:val="BodyTextIndent"/>
        <w:spacing w:before="480" w:after="120" w:line="480" w:lineRule="auto"/>
        <w:ind w:left="0" w:firstLine="720"/>
        <w:jc w:val="both"/>
        <w:rPr>
          <w:rFonts w:ascii="Georgia" w:hAnsi="Georgia"/>
          <w:bCs/>
          <w:szCs w:val="24"/>
        </w:rPr>
      </w:pPr>
      <w:r w:rsidRPr="00791CDB">
        <w:rPr>
          <w:rFonts w:ascii="Georgia" w:hAnsi="Georgia"/>
          <w:bCs/>
          <w:szCs w:val="24"/>
        </w:rPr>
        <w:t>I</w:t>
      </w:r>
      <w:r w:rsidR="00480E50" w:rsidRPr="00791CDB">
        <w:rPr>
          <w:rFonts w:ascii="Georgia" w:hAnsi="Georgia"/>
          <w:bCs/>
          <w:szCs w:val="24"/>
        </w:rPr>
        <w:t>n the interest of gradualism,</w:t>
      </w:r>
      <w:r w:rsidRPr="00791CDB">
        <w:rPr>
          <w:rFonts w:ascii="Georgia" w:hAnsi="Georgia"/>
          <w:bCs/>
          <w:szCs w:val="24"/>
        </w:rPr>
        <w:t xml:space="preserve"> Kroger is </w:t>
      </w:r>
      <w:r w:rsidR="00480E50" w:rsidRPr="00791CDB">
        <w:rPr>
          <w:rFonts w:ascii="Georgia" w:hAnsi="Georgia"/>
          <w:bCs/>
          <w:szCs w:val="24"/>
        </w:rPr>
        <w:t>only proposing to recover 50% of those secondary transformer costs through the customer POD charge for the Secondary &gt; 10 kW rate schedule.</w:t>
      </w:r>
    </w:p>
    <w:p w14:paraId="3084B51F" w14:textId="042EB7E7" w:rsidR="00C417EA" w:rsidRPr="00791CDB" w:rsidRDefault="000972F2" w:rsidP="00FA070F">
      <w:pPr>
        <w:pStyle w:val="BodyTextIndent"/>
        <w:spacing w:before="120" w:after="120" w:line="480" w:lineRule="auto"/>
        <w:ind w:left="0" w:firstLine="720"/>
        <w:jc w:val="both"/>
        <w:rPr>
          <w:rFonts w:ascii="Georgia" w:hAnsi="Georgia"/>
          <w:bCs/>
          <w:szCs w:val="24"/>
        </w:rPr>
      </w:pPr>
      <w:r w:rsidRPr="00791CDB">
        <w:rPr>
          <w:rFonts w:ascii="Georgia" w:hAnsi="Georgia"/>
          <w:bCs/>
          <w:szCs w:val="24"/>
        </w:rPr>
        <w:t>Oncor addressed Mr. Bieber’s proposed modification to the Secondary &gt; 10 kW rate design through the Rebuttal Testimony of Mr. Troxle.  While Mr. Troxle did not agree with Mr. Bieber</w:t>
      </w:r>
      <w:r w:rsidR="00E87712">
        <w:rPr>
          <w:rFonts w:ascii="Georgia" w:hAnsi="Georgia"/>
          <w:bCs/>
          <w:szCs w:val="24"/>
        </w:rPr>
        <w:t>’s</w:t>
      </w:r>
      <w:r w:rsidRPr="00791CDB">
        <w:rPr>
          <w:rFonts w:ascii="Georgia" w:hAnsi="Georgia"/>
          <w:bCs/>
          <w:szCs w:val="24"/>
        </w:rPr>
        <w:t xml:space="preserve"> or</w:t>
      </w:r>
      <w:r w:rsidR="00740DD1">
        <w:rPr>
          <w:rFonts w:ascii="Georgia" w:hAnsi="Georgia"/>
          <w:bCs/>
          <w:szCs w:val="24"/>
        </w:rPr>
        <w:t xml:space="preserve"> the</w:t>
      </w:r>
      <w:r w:rsidRPr="00791CDB">
        <w:rPr>
          <w:rFonts w:ascii="Georgia" w:hAnsi="Georgia"/>
          <w:bCs/>
          <w:szCs w:val="24"/>
        </w:rPr>
        <w:t xml:space="preserve"> NARUC </w:t>
      </w:r>
      <w:r w:rsidR="00740DD1">
        <w:rPr>
          <w:rFonts w:ascii="Georgia" w:hAnsi="Georgia"/>
          <w:bCs/>
          <w:szCs w:val="24"/>
        </w:rPr>
        <w:t>Manual</w:t>
      </w:r>
      <w:r w:rsidRPr="00791CDB">
        <w:rPr>
          <w:rFonts w:ascii="Georgia" w:hAnsi="Georgia"/>
          <w:bCs/>
          <w:szCs w:val="24"/>
        </w:rPr>
        <w:t>, Mr. Troxle stated that he does not oppose Kroger’s modification to the Secondary &gt; 10 kW rate design and concluded that such a rate design may be appropriate for a weather sensitive system, like Oncor’s.</w:t>
      </w:r>
      <w:r w:rsidR="00740DD1">
        <w:rPr>
          <w:rStyle w:val="FootnoteReference"/>
          <w:rFonts w:ascii="Georgia" w:hAnsi="Georgia"/>
          <w:bCs/>
          <w:szCs w:val="24"/>
        </w:rPr>
        <w:footnoteReference w:id="9"/>
      </w:r>
      <w:r w:rsidRPr="00791CDB">
        <w:rPr>
          <w:rFonts w:ascii="Georgia" w:hAnsi="Georgia"/>
          <w:bCs/>
          <w:szCs w:val="24"/>
        </w:rPr>
        <w:t xml:space="preserve">  Mr. Troxle stated</w:t>
      </w:r>
      <w:r w:rsidR="00777BFD" w:rsidRPr="00791CDB">
        <w:rPr>
          <w:rFonts w:ascii="Georgia" w:hAnsi="Georgia"/>
          <w:bCs/>
          <w:szCs w:val="24"/>
        </w:rPr>
        <w:t xml:space="preserve"> on page 1</w:t>
      </w:r>
      <w:r w:rsidR="00740DD1">
        <w:rPr>
          <w:rFonts w:ascii="Georgia" w:hAnsi="Georgia"/>
          <w:bCs/>
          <w:szCs w:val="24"/>
        </w:rPr>
        <w:t>2</w:t>
      </w:r>
      <w:r w:rsidR="00777BFD" w:rsidRPr="00791CDB">
        <w:rPr>
          <w:rFonts w:ascii="Georgia" w:hAnsi="Georgia"/>
          <w:bCs/>
          <w:szCs w:val="24"/>
        </w:rPr>
        <w:t xml:space="preserve"> of his Rebuttal Testimony</w:t>
      </w:r>
      <w:r w:rsidRPr="00791CDB">
        <w:rPr>
          <w:rFonts w:ascii="Georgia" w:hAnsi="Georgia"/>
          <w:bCs/>
          <w:szCs w:val="24"/>
        </w:rPr>
        <w:t>:</w:t>
      </w:r>
    </w:p>
    <w:p w14:paraId="651A5CF5" w14:textId="1B782693" w:rsidR="002C7CDA" w:rsidRPr="00791CDB" w:rsidRDefault="00F620A9" w:rsidP="00146CBD">
      <w:pPr>
        <w:spacing w:line="240" w:lineRule="auto"/>
        <w:ind w:left="720" w:right="720"/>
        <w:jc w:val="both"/>
        <w:rPr>
          <w:rFonts w:ascii="Georgia" w:hAnsi="Georgia"/>
          <w:b/>
          <w:bCs/>
          <w:sz w:val="24"/>
          <w:szCs w:val="24"/>
        </w:rPr>
      </w:pPr>
      <w:r>
        <w:rPr>
          <w:rFonts w:ascii="Georgia" w:hAnsi="Georgia"/>
          <w:b/>
          <w:bCs/>
          <w:sz w:val="24"/>
          <w:szCs w:val="24"/>
        </w:rPr>
        <w:t>“</w:t>
      </w:r>
      <w:r w:rsidR="002C7CDA" w:rsidRPr="00791CDB">
        <w:rPr>
          <w:rFonts w:ascii="Georgia" w:hAnsi="Georgia"/>
          <w:b/>
          <w:bCs/>
          <w:sz w:val="24"/>
          <w:szCs w:val="24"/>
        </w:rPr>
        <w:t>Q. DO YOU OPPOSE MR. BIEBER'S RECOMMENDATION TO RECOVER 50% OF SECONDARY TRANSFORMER COSTS THROUGH THE CUSTOMER CHARGE?</w:t>
      </w:r>
    </w:p>
    <w:p w14:paraId="3CA7D2C5" w14:textId="614D2A3C" w:rsidR="002C7CDA" w:rsidRPr="00791CDB" w:rsidRDefault="002C7CDA" w:rsidP="00146CBD">
      <w:pPr>
        <w:spacing w:line="240" w:lineRule="auto"/>
        <w:ind w:left="720" w:right="720"/>
        <w:jc w:val="both"/>
        <w:rPr>
          <w:rFonts w:ascii="Georgia" w:hAnsi="Georgia"/>
          <w:sz w:val="24"/>
          <w:szCs w:val="24"/>
        </w:rPr>
      </w:pPr>
      <w:r w:rsidRPr="00791CDB">
        <w:rPr>
          <w:rFonts w:ascii="Georgia" w:hAnsi="Georgia"/>
          <w:sz w:val="24"/>
          <w:szCs w:val="24"/>
        </w:rPr>
        <w:t>A. No, I do not oppose his recommendation. While I disagree with his rationale, if the Commission sees value in functionalizing these costs to the Transmission and Distribution Utility Customer Service ("TDCS") Function (where they would be recovered through the fixed Customer Charge) as opposed to the Distribution Function (where they are recovered through the</w:t>
      </w:r>
      <w:r w:rsidR="00777BFD" w:rsidRPr="00791CDB">
        <w:rPr>
          <w:rFonts w:ascii="Georgia" w:hAnsi="Georgia"/>
          <w:sz w:val="24"/>
          <w:szCs w:val="24"/>
        </w:rPr>
        <w:t xml:space="preserve"> </w:t>
      </w:r>
      <w:r w:rsidRPr="00791CDB">
        <w:rPr>
          <w:rFonts w:ascii="Georgia" w:hAnsi="Georgia"/>
          <w:sz w:val="24"/>
          <w:szCs w:val="24"/>
        </w:rPr>
        <w:t>variable Distribution Charge), it has the ability to make this decision. In fact, I would recommend that if the Commission were to adopt this recommendation, it should be expanded to cover 100% of all of FERC Accounts 364 to 368, not just 50% of FERC Account 368, for all rate</w:t>
      </w:r>
      <w:r w:rsidR="00777BFD" w:rsidRPr="00791CDB">
        <w:rPr>
          <w:rFonts w:ascii="Georgia" w:hAnsi="Georgia"/>
          <w:sz w:val="24"/>
          <w:szCs w:val="24"/>
        </w:rPr>
        <w:t xml:space="preserve"> </w:t>
      </w:r>
      <w:r w:rsidRPr="00791CDB">
        <w:rPr>
          <w:rFonts w:ascii="Georgia" w:hAnsi="Georgia"/>
          <w:sz w:val="24"/>
          <w:szCs w:val="24"/>
        </w:rPr>
        <w:t>classes. The main reason that the Commission may see value in Mr. Bieber's proposal, regardless of the rationale, is that the fixed customer charge is not weather sensitive. Recently, many areas have experienced extreme weather and temperatures. If more of the Company's revenue</w:t>
      </w:r>
      <w:r w:rsidR="00777BFD" w:rsidRPr="00791CDB">
        <w:rPr>
          <w:rFonts w:ascii="Georgia" w:hAnsi="Georgia"/>
          <w:sz w:val="24"/>
          <w:szCs w:val="24"/>
        </w:rPr>
        <w:t xml:space="preserve"> </w:t>
      </w:r>
      <w:r w:rsidRPr="00791CDB">
        <w:rPr>
          <w:rFonts w:ascii="Georgia" w:hAnsi="Georgia"/>
          <w:sz w:val="24"/>
          <w:szCs w:val="24"/>
        </w:rPr>
        <w:t xml:space="preserve">requirement is collected through a fixed Customer Charge as opposed to a variable Distribution Charge, it would help to mitigate weather-related impacts to end-use customers and help them to </w:t>
      </w:r>
      <w:r w:rsidRPr="00791CDB">
        <w:rPr>
          <w:rFonts w:ascii="Georgia" w:hAnsi="Georgia"/>
          <w:sz w:val="24"/>
          <w:szCs w:val="24"/>
        </w:rPr>
        <w:lastRenderedPageBreak/>
        <w:t>budget monthly costs. While the Company's charges are only a portion of the total bill that a REP sends to an end-use customer, and the REP portion of the bill is most likely variable (energy or demand related), the Commission may see value in the recommendation of Mr. Bieber. While weather sensitivity may not be of as great a concern for the larger customer rate classes, it is an appropriate consideration for why the recommendation should be adopted for all rate classes and not be a special carve out for one rate class.</w:t>
      </w:r>
      <w:r w:rsidR="00F620A9">
        <w:rPr>
          <w:rFonts w:ascii="Georgia" w:hAnsi="Georgia"/>
          <w:sz w:val="24"/>
          <w:szCs w:val="24"/>
        </w:rPr>
        <w:t>”</w:t>
      </w:r>
    </w:p>
    <w:p w14:paraId="32BF0472" w14:textId="312E2DA5" w:rsidR="00FA070F" w:rsidRDefault="007749AE" w:rsidP="00FA070F">
      <w:pPr>
        <w:pStyle w:val="BodyTextIndent"/>
        <w:spacing w:before="480" w:after="120" w:line="480" w:lineRule="auto"/>
        <w:ind w:left="0" w:firstLine="720"/>
        <w:jc w:val="both"/>
        <w:rPr>
          <w:rFonts w:ascii="Georgia" w:hAnsi="Georgia"/>
          <w:bCs/>
          <w:szCs w:val="24"/>
        </w:rPr>
      </w:pPr>
      <w:r w:rsidRPr="00791CDB">
        <w:rPr>
          <w:rFonts w:ascii="Georgia" w:hAnsi="Georgia"/>
          <w:bCs/>
          <w:szCs w:val="24"/>
        </w:rPr>
        <w:t xml:space="preserve">Kroger does not take a position on Mr. Troxle’s suggestion that </w:t>
      </w:r>
      <w:r w:rsidR="009372E1" w:rsidRPr="00791CDB">
        <w:rPr>
          <w:rFonts w:ascii="Georgia" w:hAnsi="Georgia"/>
          <w:bCs/>
          <w:szCs w:val="24"/>
        </w:rPr>
        <w:t>Mr. Bieber’s proposed modification “</w:t>
      </w:r>
      <w:r w:rsidR="009372E1" w:rsidRPr="00791CDB">
        <w:rPr>
          <w:rFonts w:ascii="Georgia" w:hAnsi="Georgia"/>
          <w:bCs/>
          <w:i/>
          <w:iCs/>
          <w:szCs w:val="24"/>
        </w:rPr>
        <w:t>should be expanded to cover 100% of all of FERC Accounts 364 to 368, not just 50% of FERC Account 368, for all rate classes</w:t>
      </w:r>
      <w:r w:rsidR="009372E1" w:rsidRPr="00791CDB">
        <w:rPr>
          <w:rFonts w:ascii="Georgia" w:hAnsi="Georgia"/>
          <w:bCs/>
          <w:szCs w:val="24"/>
        </w:rPr>
        <w:t>.”  But at the very least, this modification should apply to 50%</w:t>
      </w:r>
      <w:r w:rsidR="00AA4686" w:rsidRPr="00791CDB">
        <w:rPr>
          <w:rFonts w:ascii="Georgia" w:hAnsi="Georgia"/>
          <w:bCs/>
          <w:szCs w:val="24"/>
        </w:rPr>
        <w:t xml:space="preserve"> of secondary transformer costs for the Secondary &gt; 10 kW rate schedule.</w:t>
      </w:r>
    </w:p>
    <w:p w14:paraId="047EA9F4" w14:textId="75C109C2" w:rsidR="00A15E13" w:rsidRPr="00791CDB" w:rsidRDefault="00AA4686" w:rsidP="003A3E95">
      <w:pPr>
        <w:pStyle w:val="BodyTextIndent"/>
        <w:spacing w:before="360" w:line="480" w:lineRule="auto"/>
        <w:ind w:left="0" w:firstLine="0"/>
        <w:jc w:val="center"/>
        <w:rPr>
          <w:rFonts w:ascii="Georgia" w:hAnsi="Georgia"/>
          <w:b/>
          <w:szCs w:val="24"/>
        </w:rPr>
      </w:pPr>
      <w:r w:rsidRPr="00791CDB">
        <w:rPr>
          <w:rFonts w:ascii="Georgia" w:hAnsi="Georgia"/>
          <w:b/>
          <w:szCs w:val="24"/>
        </w:rPr>
        <w:t>I</w:t>
      </w:r>
      <w:r w:rsidR="009F194E" w:rsidRPr="00791CDB">
        <w:rPr>
          <w:rFonts w:ascii="Georgia" w:hAnsi="Georgia"/>
          <w:b/>
          <w:szCs w:val="24"/>
        </w:rPr>
        <w:t>I</w:t>
      </w:r>
      <w:r w:rsidRPr="00791CDB">
        <w:rPr>
          <w:rFonts w:ascii="Georgia" w:hAnsi="Georgia"/>
          <w:b/>
          <w:szCs w:val="24"/>
        </w:rPr>
        <w:t>I.</w:t>
      </w:r>
      <w:r w:rsidRPr="00791CDB">
        <w:rPr>
          <w:rFonts w:ascii="Georgia" w:hAnsi="Georgia"/>
          <w:b/>
          <w:szCs w:val="24"/>
        </w:rPr>
        <w:tab/>
        <w:t>CONCLUSION</w:t>
      </w:r>
    </w:p>
    <w:p w14:paraId="62023AA2" w14:textId="2F8042B0" w:rsidR="00480E50" w:rsidRPr="00791CDB" w:rsidRDefault="00AA4686" w:rsidP="003A3E95">
      <w:pPr>
        <w:pStyle w:val="BodyTextIndent"/>
        <w:spacing w:before="120" w:after="240" w:line="480" w:lineRule="auto"/>
        <w:ind w:left="0" w:firstLine="720"/>
        <w:jc w:val="both"/>
        <w:rPr>
          <w:rFonts w:ascii="Georgia" w:hAnsi="Georgia"/>
          <w:b/>
          <w:bCs/>
          <w:szCs w:val="24"/>
        </w:rPr>
      </w:pPr>
      <w:r w:rsidRPr="00791CDB">
        <w:rPr>
          <w:rFonts w:ascii="Georgia" w:hAnsi="Georgia"/>
          <w:szCs w:val="24"/>
        </w:rPr>
        <w:t>For</w:t>
      </w:r>
      <w:r w:rsidR="000972F2" w:rsidRPr="00791CDB">
        <w:rPr>
          <w:rFonts w:ascii="Georgia" w:hAnsi="Georgia"/>
          <w:szCs w:val="24"/>
        </w:rPr>
        <w:t xml:space="preserve"> the reasons stated </w:t>
      </w:r>
      <w:r w:rsidR="000972F2" w:rsidRPr="00740DD1">
        <w:rPr>
          <w:rFonts w:ascii="Georgia" w:hAnsi="Georgia"/>
          <w:szCs w:val="24"/>
        </w:rPr>
        <w:t xml:space="preserve">above, Kroger respectfully requests that the Commission </w:t>
      </w:r>
      <w:r w:rsidR="00740DD1" w:rsidRPr="00740DD1">
        <w:rPr>
          <w:rFonts w:ascii="Georgia" w:hAnsi="Georgia"/>
          <w:szCs w:val="24"/>
        </w:rPr>
        <w:t xml:space="preserve">improve </w:t>
      </w:r>
      <w:r w:rsidR="00AE4292" w:rsidRPr="00740DD1">
        <w:rPr>
          <w:rFonts w:ascii="Georgia" w:hAnsi="Georgia"/>
          <w:szCs w:val="24"/>
        </w:rPr>
        <w:t>the alignment between rates with in the Secondary &gt; 10 kW rate schedule and the underlying cost causation by shifting 50% of the revenue</w:t>
      </w:r>
      <w:r w:rsidR="00AE4292" w:rsidRPr="00791CDB">
        <w:rPr>
          <w:rFonts w:ascii="Georgia" w:hAnsi="Georgia"/>
          <w:szCs w:val="24"/>
        </w:rPr>
        <w:t xml:space="preserve"> recovery for secondary transformers from the Facilities demand $/kW charge to the customer POD charge.  </w:t>
      </w:r>
    </w:p>
    <w:p w14:paraId="65D83468" w14:textId="77777777" w:rsidR="00FA070F" w:rsidRPr="00FA070F" w:rsidRDefault="00FA070F" w:rsidP="00FA070F">
      <w:pPr>
        <w:tabs>
          <w:tab w:val="left" w:pos="4320"/>
          <w:tab w:val="left" w:pos="5040"/>
          <w:tab w:val="left" w:pos="7020"/>
        </w:tabs>
        <w:spacing w:after="0" w:line="240" w:lineRule="auto"/>
        <w:ind w:left="5040"/>
        <w:rPr>
          <w:rFonts w:ascii="Georgia" w:eastAsia="Times New Roman" w:hAnsi="Georgia" w:cs="Times New Roman"/>
          <w:sz w:val="24"/>
          <w:szCs w:val="24"/>
        </w:rPr>
      </w:pPr>
      <w:r w:rsidRPr="00FA070F">
        <w:rPr>
          <w:rFonts w:ascii="Georgia" w:eastAsia="Times New Roman" w:hAnsi="Georgia" w:cs="Times New Roman"/>
          <w:i/>
          <w:iCs/>
          <w:sz w:val="24"/>
          <w:szCs w:val="24"/>
          <w:u w:val="single"/>
        </w:rPr>
        <w:t>/s/Kurt J. Boehm</w:t>
      </w:r>
      <w:r w:rsidRPr="00FA070F">
        <w:rPr>
          <w:rFonts w:ascii="Georgia" w:eastAsia="Times New Roman" w:hAnsi="Georgia" w:cs="Times New Roman"/>
          <w:i/>
          <w:iCs/>
          <w:sz w:val="24"/>
          <w:szCs w:val="24"/>
          <w:u w:val="single"/>
        </w:rPr>
        <w:tab/>
      </w:r>
      <w:r w:rsidRPr="00FA070F">
        <w:rPr>
          <w:rFonts w:ascii="Georgia" w:eastAsia="Times New Roman" w:hAnsi="Georgia" w:cs="Times New Roman"/>
          <w:i/>
          <w:iCs/>
          <w:sz w:val="24"/>
          <w:szCs w:val="24"/>
          <w:u w:val="single"/>
        </w:rPr>
        <w:tab/>
      </w:r>
      <w:r w:rsidRPr="00FA070F">
        <w:rPr>
          <w:rFonts w:ascii="Georgia" w:eastAsia="Times New Roman" w:hAnsi="Georgia" w:cs="Times New Roman"/>
          <w:i/>
          <w:iCs/>
          <w:sz w:val="24"/>
          <w:szCs w:val="24"/>
          <w:u w:val="single"/>
        </w:rPr>
        <w:tab/>
      </w:r>
      <w:r w:rsidRPr="00FA070F">
        <w:rPr>
          <w:rFonts w:ascii="Georgia" w:eastAsia="Times New Roman" w:hAnsi="Georgia" w:cs="Times New Roman"/>
          <w:sz w:val="24"/>
          <w:szCs w:val="24"/>
          <w:u w:val="single"/>
        </w:rPr>
        <w:tab/>
      </w:r>
      <w:r w:rsidRPr="00FA070F">
        <w:rPr>
          <w:rFonts w:ascii="Georgia" w:eastAsia="Times New Roman" w:hAnsi="Georgia" w:cs="Times New Roman"/>
          <w:sz w:val="24"/>
          <w:szCs w:val="24"/>
          <w:u w:val="single"/>
        </w:rPr>
        <w:tab/>
      </w:r>
      <w:r w:rsidRPr="00FA070F">
        <w:rPr>
          <w:rFonts w:ascii="Georgia" w:eastAsia="Times New Roman" w:hAnsi="Georgia" w:cs="Times New Roman"/>
          <w:sz w:val="24"/>
          <w:szCs w:val="24"/>
          <w:u w:val="single"/>
        </w:rPr>
        <w:br/>
      </w:r>
      <w:r w:rsidRPr="00FA070F">
        <w:rPr>
          <w:rFonts w:ascii="Georgia" w:eastAsia="Times New Roman" w:hAnsi="Georgia" w:cs="Times New Roman"/>
          <w:sz w:val="24"/>
          <w:szCs w:val="24"/>
        </w:rPr>
        <w:t>Kurt J. Boehm, Esq.</w:t>
      </w:r>
    </w:p>
    <w:p w14:paraId="325F5485" w14:textId="77777777" w:rsidR="00FA070F" w:rsidRPr="00FA070F" w:rsidRDefault="00FA070F" w:rsidP="00FA070F">
      <w:pPr>
        <w:tabs>
          <w:tab w:val="left" w:pos="4320"/>
          <w:tab w:val="left" w:pos="5040"/>
          <w:tab w:val="left" w:pos="7020"/>
        </w:tabs>
        <w:spacing w:after="0" w:line="240" w:lineRule="auto"/>
        <w:ind w:left="5040"/>
        <w:rPr>
          <w:rFonts w:ascii="Georgia" w:eastAsia="Times New Roman" w:hAnsi="Georgia" w:cs="Times New Roman"/>
          <w:sz w:val="24"/>
          <w:szCs w:val="24"/>
        </w:rPr>
      </w:pPr>
      <w:r w:rsidRPr="00FA070F">
        <w:rPr>
          <w:rFonts w:ascii="Georgia" w:eastAsia="Times New Roman" w:hAnsi="Georgia" w:cs="Times New Roman"/>
          <w:sz w:val="24"/>
          <w:szCs w:val="24"/>
        </w:rPr>
        <w:t>Jody Kyler Cohn, Esq.</w:t>
      </w:r>
    </w:p>
    <w:p w14:paraId="0E3A4AE3" w14:textId="77777777" w:rsidR="00FA070F" w:rsidRPr="00FA070F" w:rsidRDefault="00FA070F" w:rsidP="00FA070F">
      <w:pPr>
        <w:tabs>
          <w:tab w:val="left" w:pos="4320"/>
          <w:tab w:val="left" w:pos="5040"/>
          <w:tab w:val="left" w:pos="7020"/>
        </w:tabs>
        <w:spacing w:after="0" w:line="240" w:lineRule="auto"/>
        <w:ind w:left="5040"/>
        <w:rPr>
          <w:rFonts w:ascii="Georgia" w:eastAsia="Times New Roman" w:hAnsi="Georgia" w:cs="Times New Roman"/>
          <w:b/>
          <w:sz w:val="24"/>
          <w:szCs w:val="24"/>
        </w:rPr>
      </w:pPr>
      <w:r w:rsidRPr="00FA070F">
        <w:rPr>
          <w:rFonts w:ascii="Georgia" w:eastAsia="Times New Roman" w:hAnsi="Georgia" w:cs="Times New Roman"/>
          <w:b/>
          <w:sz w:val="24"/>
          <w:szCs w:val="24"/>
        </w:rPr>
        <w:t>BOEHM, KURTZ &amp; LOWRY</w:t>
      </w:r>
    </w:p>
    <w:p w14:paraId="6D578E66" w14:textId="77777777" w:rsidR="00FA070F" w:rsidRPr="00FA070F" w:rsidRDefault="00FA070F" w:rsidP="00FA070F">
      <w:pPr>
        <w:tabs>
          <w:tab w:val="left" w:pos="4320"/>
          <w:tab w:val="left" w:pos="5040"/>
          <w:tab w:val="left" w:pos="7020"/>
        </w:tabs>
        <w:spacing w:after="0" w:line="240" w:lineRule="auto"/>
        <w:ind w:left="5040"/>
        <w:rPr>
          <w:rFonts w:ascii="Georgia" w:eastAsia="Times New Roman" w:hAnsi="Georgia" w:cs="Times New Roman"/>
          <w:sz w:val="24"/>
          <w:szCs w:val="24"/>
        </w:rPr>
      </w:pPr>
      <w:r w:rsidRPr="00FA070F">
        <w:rPr>
          <w:rFonts w:ascii="Georgia" w:eastAsia="Times New Roman" w:hAnsi="Georgia" w:cs="Times New Roman"/>
          <w:sz w:val="24"/>
          <w:szCs w:val="24"/>
        </w:rPr>
        <w:t>36 East Seventh Street, Suite 1510</w:t>
      </w:r>
    </w:p>
    <w:p w14:paraId="52FED823" w14:textId="40202608" w:rsidR="00FA070F" w:rsidRPr="00FA070F" w:rsidRDefault="00FA070F" w:rsidP="00FA070F">
      <w:pPr>
        <w:tabs>
          <w:tab w:val="left" w:pos="4320"/>
          <w:tab w:val="left" w:pos="5040"/>
          <w:tab w:val="left" w:pos="7020"/>
        </w:tabs>
        <w:spacing w:after="0" w:line="240" w:lineRule="auto"/>
        <w:ind w:left="5040"/>
        <w:rPr>
          <w:rFonts w:ascii="Georgia" w:eastAsia="Times New Roman" w:hAnsi="Georgia" w:cs="Times New Roman"/>
          <w:sz w:val="24"/>
          <w:szCs w:val="24"/>
        </w:rPr>
      </w:pPr>
      <w:r w:rsidRPr="00FA070F">
        <w:rPr>
          <w:rFonts w:ascii="Georgia" w:eastAsia="Times New Roman" w:hAnsi="Georgia" w:cs="Times New Roman"/>
          <w:sz w:val="24"/>
          <w:szCs w:val="24"/>
        </w:rPr>
        <w:t>Cincinnati, Ohio 45202</w:t>
      </w:r>
    </w:p>
    <w:p w14:paraId="15B6A4F0" w14:textId="77777777" w:rsidR="00FA070F" w:rsidRPr="00FA070F" w:rsidRDefault="00FA070F" w:rsidP="00FA070F">
      <w:pPr>
        <w:tabs>
          <w:tab w:val="left" w:pos="4320"/>
          <w:tab w:val="left" w:pos="5040"/>
          <w:tab w:val="left" w:pos="7020"/>
        </w:tabs>
        <w:spacing w:after="0" w:line="240" w:lineRule="auto"/>
        <w:ind w:left="5040"/>
        <w:rPr>
          <w:rFonts w:ascii="Georgia" w:eastAsia="Times New Roman" w:hAnsi="Georgia" w:cs="Times New Roman"/>
          <w:sz w:val="24"/>
          <w:szCs w:val="24"/>
        </w:rPr>
      </w:pPr>
      <w:r w:rsidRPr="00FA070F">
        <w:rPr>
          <w:rFonts w:ascii="Georgia" w:eastAsia="Times New Roman" w:hAnsi="Georgia" w:cs="Times New Roman"/>
          <w:sz w:val="24"/>
          <w:szCs w:val="24"/>
        </w:rPr>
        <w:t>Ph: 513-421-2255</w:t>
      </w:r>
      <w:r w:rsidRPr="00FA070F">
        <w:rPr>
          <w:rFonts w:ascii="Georgia" w:eastAsia="Times New Roman" w:hAnsi="Georgia" w:cs="Times New Roman"/>
          <w:sz w:val="24"/>
          <w:szCs w:val="24"/>
        </w:rPr>
        <w:tab/>
        <w:t>Fax: 513-421-2764</w:t>
      </w:r>
    </w:p>
    <w:p w14:paraId="1AE24615" w14:textId="77777777" w:rsidR="00FA070F" w:rsidRPr="00FA070F" w:rsidRDefault="00FA070F" w:rsidP="00FA070F">
      <w:pPr>
        <w:tabs>
          <w:tab w:val="left" w:pos="4320"/>
          <w:tab w:val="left" w:pos="5040"/>
          <w:tab w:val="left" w:pos="7020"/>
        </w:tabs>
        <w:spacing w:after="0" w:line="240" w:lineRule="auto"/>
        <w:ind w:left="5040"/>
        <w:rPr>
          <w:rFonts w:ascii="Georgia" w:eastAsia="Times New Roman" w:hAnsi="Georgia" w:cs="Times New Roman"/>
          <w:sz w:val="24"/>
          <w:szCs w:val="24"/>
        </w:rPr>
      </w:pPr>
      <w:r w:rsidRPr="00FA070F">
        <w:rPr>
          <w:rFonts w:ascii="Georgia" w:eastAsia="Times New Roman" w:hAnsi="Georgia" w:cs="Times New Roman"/>
          <w:sz w:val="24"/>
          <w:szCs w:val="24"/>
        </w:rPr>
        <w:t xml:space="preserve">e-mail: </w:t>
      </w:r>
      <w:hyperlink r:id="rId8" w:history="1">
        <w:r w:rsidRPr="00FA070F">
          <w:rPr>
            <w:rFonts w:ascii="Georgia" w:eastAsia="Times New Roman" w:hAnsi="Georgia" w:cs="Times New Roman"/>
            <w:color w:val="0000FF"/>
            <w:sz w:val="24"/>
            <w:szCs w:val="24"/>
            <w:u w:val="single"/>
          </w:rPr>
          <w:t>kboehm@BKLlawfirm.com</w:t>
        </w:r>
      </w:hyperlink>
    </w:p>
    <w:p w14:paraId="75A764A0" w14:textId="77777777" w:rsidR="00FA070F" w:rsidRPr="00FA070F" w:rsidRDefault="009D3645" w:rsidP="00FA070F">
      <w:pPr>
        <w:tabs>
          <w:tab w:val="left" w:pos="4320"/>
          <w:tab w:val="left" w:pos="5040"/>
          <w:tab w:val="left" w:pos="7020"/>
        </w:tabs>
        <w:spacing w:after="0" w:line="240" w:lineRule="auto"/>
        <w:ind w:left="5040"/>
        <w:rPr>
          <w:rFonts w:ascii="Georgia" w:eastAsia="Times New Roman" w:hAnsi="Georgia" w:cs="Times New Roman"/>
          <w:sz w:val="24"/>
          <w:szCs w:val="24"/>
        </w:rPr>
      </w:pPr>
      <w:hyperlink r:id="rId9" w:history="1">
        <w:r w:rsidR="00FA070F" w:rsidRPr="00FA070F">
          <w:rPr>
            <w:rFonts w:ascii="Georgia" w:eastAsia="Times New Roman" w:hAnsi="Georgia" w:cs="Times New Roman"/>
            <w:color w:val="0000FF"/>
            <w:sz w:val="24"/>
            <w:szCs w:val="24"/>
            <w:u w:val="single"/>
          </w:rPr>
          <w:t>jkylercohn@BKLlawfirm.com</w:t>
        </w:r>
      </w:hyperlink>
      <w:r w:rsidR="00FA070F" w:rsidRPr="00FA070F">
        <w:rPr>
          <w:rFonts w:ascii="Georgia" w:eastAsia="Times New Roman" w:hAnsi="Georgia" w:cs="Times New Roman"/>
          <w:sz w:val="24"/>
          <w:szCs w:val="24"/>
        </w:rPr>
        <w:t xml:space="preserve"> </w:t>
      </w:r>
    </w:p>
    <w:p w14:paraId="31CC3587" w14:textId="77777777" w:rsidR="00FA070F" w:rsidRPr="00FA070F" w:rsidRDefault="00FA070F" w:rsidP="00FA070F">
      <w:pPr>
        <w:tabs>
          <w:tab w:val="left" w:pos="4320"/>
          <w:tab w:val="left" w:pos="5040"/>
          <w:tab w:val="left" w:pos="7020"/>
        </w:tabs>
        <w:spacing w:after="0" w:line="240" w:lineRule="auto"/>
        <w:rPr>
          <w:rFonts w:ascii="Georgia" w:eastAsia="Times New Roman" w:hAnsi="Georgia" w:cs="Times New Roman"/>
          <w:sz w:val="24"/>
          <w:szCs w:val="24"/>
        </w:rPr>
      </w:pPr>
    </w:p>
    <w:p w14:paraId="022E4900" w14:textId="77777777" w:rsidR="00FA070F" w:rsidRPr="00FA070F" w:rsidRDefault="00FA070F" w:rsidP="00FA070F">
      <w:pPr>
        <w:spacing w:after="0" w:line="240" w:lineRule="auto"/>
        <w:ind w:left="5040"/>
        <w:jc w:val="both"/>
        <w:rPr>
          <w:rFonts w:ascii="Georgia" w:eastAsia="Times New Roman" w:hAnsi="Georgia" w:cs="Times New Roman"/>
          <w:sz w:val="24"/>
          <w:szCs w:val="24"/>
        </w:rPr>
      </w:pPr>
      <w:r w:rsidRPr="00FA070F">
        <w:rPr>
          <w:rFonts w:ascii="Georgia" w:eastAsia="Times New Roman" w:hAnsi="Georgia" w:cs="Times New Roman"/>
          <w:sz w:val="24"/>
          <w:szCs w:val="24"/>
        </w:rPr>
        <w:t>Grant Clifton, Esq. (24052176)</w:t>
      </w:r>
    </w:p>
    <w:p w14:paraId="44B32704" w14:textId="77777777" w:rsidR="00FA070F" w:rsidRPr="00FA070F" w:rsidRDefault="00FA070F" w:rsidP="00FA070F">
      <w:pPr>
        <w:spacing w:after="0" w:line="240" w:lineRule="auto"/>
        <w:ind w:left="5040"/>
        <w:jc w:val="both"/>
        <w:rPr>
          <w:rFonts w:ascii="Georgia" w:eastAsia="Times New Roman" w:hAnsi="Georgia" w:cs="Times New Roman"/>
          <w:sz w:val="24"/>
          <w:szCs w:val="24"/>
        </w:rPr>
      </w:pPr>
      <w:r w:rsidRPr="00FA070F">
        <w:rPr>
          <w:rFonts w:ascii="Georgia" w:eastAsia="Times New Roman" w:hAnsi="Georgia" w:cs="Times New Roman"/>
          <w:sz w:val="24"/>
          <w:szCs w:val="24"/>
        </w:rPr>
        <w:t>1007 MoPac Circle, Suite 102</w:t>
      </w:r>
    </w:p>
    <w:p w14:paraId="27ECB021" w14:textId="77777777" w:rsidR="00FA070F" w:rsidRPr="00FA070F" w:rsidRDefault="00FA070F" w:rsidP="00FA070F">
      <w:pPr>
        <w:spacing w:after="0" w:line="240" w:lineRule="auto"/>
        <w:ind w:left="5040"/>
        <w:jc w:val="both"/>
        <w:rPr>
          <w:rFonts w:ascii="Georgia" w:eastAsia="Times New Roman" w:hAnsi="Georgia" w:cs="Times New Roman"/>
          <w:sz w:val="24"/>
          <w:szCs w:val="24"/>
        </w:rPr>
      </w:pPr>
      <w:r w:rsidRPr="00FA070F">
        <w:rPr>
          <w:rFonts w:ascii="Georgia" w:eastAsia="Times New Roman" w:hAnsi="Georgia" w:cs="Times New Roman"/>
          <w:sz w:val="24"/>
          <w:szCs w:val="24"/>
        </w:rPr>
        <w:t>Austin, Texas   78746</w:t>
      </w:r>
    </w:p>
    <w:p w14:paraId="3E2DAD24" w14:textId="77777777" w:rsidR="00FA070F" w:rsidRPr="00FA070F" w:rsidRDefault="00FA070F" w:rsidP="00FA070F">
      <w:pPr>
        <w:spacing w:after="0" w:line="240" w:lineRule="auto"/>
        <w:ind w:left="5040" w:right="-360"/>
        <w:jc w:val="both"/>
        <w:rPr>
          <w:rFonts w:ascii="Georgia" w:eastAsia="Times New Roman" w:hAnsi="Georgia" w:cs="Times New Roman"/>
          <w:sz w:val="24"/>
          <w:szCs w:val="24"/>
        </w:rPr>
      </w:pPr>
      <w:r w:rsidRPr="00FA070F">
        <w:rPr>
          <w:rFonts w:ascii="Georgia" w:eastAsia="Times New Roman" w:hAnsi="Georgia" w:cs="Times New Roman"/>
          <w:sz w:val="24"/>
          <w:szCs w:val="24"/>
        </w:rPr>
        <w:t>Ph: 512-686-3833</w:t>
      </w:r>
      <w:r w:rsidRPr="00FA070F">
        <w:rPr>
          <w:rFonts w:ascii="Georgia" w:eastAsia="Times New Roman" w:hAnsi="Georgia" w:cs="Times New Roman"/>
          <w:sz w:val="24"/>
          <w:szCs w:val="24"/>
        </w:rPr>
        <w:tab/>
        <w:t>Fax:  512-540-3037</w:t>
      </w:r>
    </w:p>
    <w:p w14:paraId="79581F08" w14:textId="77777777" w:rsidR="00FA070F" w:rsidRPr="00FA070F" w:rsidRDefault="00FA070F" w:rsidP="00FA070F">
      <w:pPr>
        <w:spacing w:after="0" w:line="240" w:lineRule="auto"/>
        <w:ind w:left="5040"/>
        <w:jc w:val="both"/>
        <w:rPr>
          <w:rFonts w:ascii="Georgia" w:eastAsia="Times New Roman" w:hAnsi="Georgia" w:cs="Times New Roman"/>
          <w:sz w:val="24"/>
          <w:szCs w:val="24"/>
        </w:rPr>
      </w:pPr>
      <w:r w:rsidRPr="00FA070F">
        <w:rPr>
          <w:rFonts w:ascii="Georgia" w:eastAsia="Times New Roman" w:hAnsi="Georgia" w:cs="Times New Roman"/>
          <w:sz w:val="24"/>
          <w:szCs w:val="24"/>
        </w:rPr>
        <w:t xml:space="preserve">E-mail:  </w:t>
      </w:r>
      <w:hyperlink r:id="rId10" w:history="1">
        <w:r w:rsidRPr="00FA070F">
          <w:rPr>
            <w:rFonts w:ascii="Georgia" w:eastAsia="Times New Roman" w:hAnsi="Georgia" w:cs="Times New Roman"/>
            <w:color w:val="0000FF"/>
            <w:sz w:val="24"/>
            <w:szCs w:val="24"/>
            <w:u w:val="single"/>
          </w:rPr>
          <w:t>grantclifton@gmail.com</w:t>
        </w:r>
      </w:hyperlink>
      <w:r w:rsidRPr="00FA070F">
        <w:rPr>
          <w:rFonts w:ascii="Georgia" w:eastAsia="Times New Roman" w:hAnsi="Georgia" w:cs="Times New Roman"/>
          <w:sz w:val="24"/>
          <w:szCs w:val="24"/>
        </w:rPr>
        <w:t xml:space="preserve"> </w:t>
      </w:r>
    </w:p>
    <w:p w14:paraId="0C5E7DC6" w14:textId="3BC0371F" w:rsidR="009D5094" w:rsidRDefault="00FA070F">
      <w:pPr>
        <w:rPr>
          <w:rFonts w:ascii="Georgia" w:eastAsia="Times New Roman" w:hAnsi="Georgia" w:cs="Times New Roman"/>
          <w:sz w:val="24"/>
          <w:szCs w:val="24"/>
        </w:rPr>
      </w:pPr>
      <w:r>
        <w:rPr>
          <w:rFonts w:ascii="Georgia" w:eastAsia="Times New Roman" w:hAnsi="Georgia" w:cs="Times New Roman"/>
          <w:sz w:val="24"/>
          <w:szCs w:val="24"/>
        </w:rPr>
        <w:t>October 14, 2022</w:t>
      </w:r>
    </w:p>
    <w:p w14:paraId="580F8530" w14:textId="77777777" w:rsidR="009D5094" w:rsidRDefault="009D5094">
      <w:pPr>
        <w:rPr>
          <w:rFonts w:ascii="Georgia" w:eastAsia="Times New Roman" w:hAnsi="Georgia" w:cs="Times New Roman"/>
          <w:sz w:val="24"/>
          <w:szCs w:val="24"/>
        </w:rPr>
      </w:pPr>
      <w:r>
        <w:rPr>
          <w:rFonts w:ascii="Georgia" w:eastAsia="Times New Roman" w:hAnsi="Georgia" w:cs="Times New Roman"/>
          <w:sz w:val="24"/>
          <w:szCs w:val="24"/>
        </w:rPr>
        <w:br w:type="page"/>
      </w:r>
    </w:p>
    <w:p w14:paraId="560A8F04" w14:textId="6EA612C9" w:rsidR="009D5094" w:rsidRDefault="009D5094" w:rsidP="009D5094">
      <w:pPr>
        <w:autoSpaceDE w:val="0"/>
        <w:autoSpaceDN w:val="0"/>
        <w:adjustRightInd w:val="0"/>
        <w:spacing w:after="0" w:line="240" w:lineRule="auto"/>
        <w:jc w:val="center"/>
        <w:rPr>
          <w:rFonts w:ascii="Georgia-Bold" w:hAnsi="Georgia-Bold" w:cs="Georgia-Bold"/>
          <w:b/>
          <w:bCs/>
          <w:sz w:val="24"/>
          <w:szCs w:val="24"/>
        </w:rPr>
      </w:pPr>
      <w:r>
        <w:rPr>
          <w:rFonts w:ascii="Georgia-Bold" w:hAnsi="Georgia-Bold" w:cs="Georgia-Bold"/>
          <w:b/>
          <w:bCs/>
          <w:sz w:val="24"/>
          <w:szCs w:val="24"/>
        </w:rPr>
        <w:t>CERTIFICATE OF SERVICE</w:t>
      </w:r>
    </w:p>
    <w:p w14:paraId="742B8E3F" w14:textId="77777777" w:rsidR="009D5094" w:rsidRDefault="009D5094" w:rsidP="009D5094">
      <w:pPr>
        <w:autoSpaceDE w:val="0"/>
        <w:autoSpaceDN w:val="0"/>
        <w:adjustRightInd w:val="0"/>
        <w:spacing w:after="0" w:line="240" w:lineRule="auto"/>
        <w:jc w:val="center"/>
        <w:rPr>
          <w:rFonts w:ascii="Georgia-Bold" w:hAnsi="Georgia-Bold" w:cs="Georgia-Bold"/>
          <w:b/>
          <w:bCs/>
          <w:sz w:val="24"/>
          <w:szCs w:val="24"/>
        </w:rPr>
      </w:pPr>
    </w:p>
    <w:p w14:paraId="34091406" w14:textId="77B57B28" w:rsidR="009D5094" w:rsidRDefault="009D5094" w:rsidP="009D3645">
      <w:pPr>
        <w:autoSpaceDE w:val="0"/>
        <w:autoSpaceDN w:val="0"/>
        <w:adjustRightInd w:val="0"/>
        <w:spacing w:after="0" w:line="240" w:lineRule="auto"/>
        <w:ind w:firstLine="720"/>
        <w:jc w:val="both"/>
        <w:rPr>
          <w:rFonts w:ascii="Georgia" w:hAnsi="Georgia" w:cs="Georgia"/>
          <w:sz w:val="24"/>
          <w:szCs w:val="24"/>
        </w:rPr>
      </w:pPr>
      <w:r>
        <w:rPr>
          <w:rFonts w:ascii="Georgia" w:hAnsi="Georgia" w:cs="Georgia"/>
          <w:sz w:val="24"/>
          <w:szCs w:val="24"/>
        </w:rPr>
        <w:t>I hereby certify that true copy of the foregoing was served on all parties of record in this</w:t>
      </w:r>
      <w:r w:rsidR="009D3645">
        <w:rPr>
          <w:rFonts w:ascii="Georgia" w:hAnsi="Georgia" w:cs="Georgia"/>
          <w:sz w:val="24"/>
          <w:szCs w:val="24"/>
        </w:rPr>
        <w:t xml:space="preserve"> </w:t>
      </w:r>
      <w:r>
        <w:rPr>
          <w:rFonts w:ascii="Georgia" w:hAnsi="Georgia" w:cs="Georgia"/>
          <w:sz w:val="24"/>
          <w:szCs w:val="24"/>
        </w:rPr>
        <w:t>proceeding on this 14th day of October, 2022 by electronic mail to the parties of</w:t>
      </w:r>
      <w:r>
        <w:rPr>
          <w:rFonts w:ascii="Georgia" w:hAnsi="Georgia" w:cs="Georgia"/>
          <w:sz w:val="24"/>
          <w:szCs w:val="24"/>
        </w:rPr>
        <w:t xml:space="preserve"> </w:t>
      </w:r>
      <w:r>
        <w:rPr>
          <w:rFonts w:ascii="Georgia" w:hAnsi="Georgia" w:cs="Georgia"/>
          <w:sz w:val="24"/>
          <w:szCs w:val="24"/>
        </w:rPr>
        <w:t>record in accordance with the Order Suspending Rules, issued in Project No. 50664.</w:t>
      </w:r>
    </w:p>
    <w:p w14:paraId="44924DD1" w14:textId="0E0AC17C" w:rsidR="00C735BB" w:rsidRDefault="00C735BB" w:rsidP="009D5094">
      <w:pPr>
        <w:rPr>
          <w:rFonts w:ascii="Georgia-Italic" w:hAnsi="Georgia-Italic" w:cs="Georgia-Italic"/>
          <w:i/>
          <w:iCs/>
          <w:sz w:val="24"/>
          <w:szCs w:val="24"/>
        </w:rPr>
      </w:pPr>
    </w:p>
    <w:p w14:paraId="139A8F22" w14:textId="77777777" w:rsidR="009D5094" w:rsidRPr="00FA070F" w:rsidRDefault="009D5094" w:rsidP="009D5094">
      <w:pPr>
        <w:tabs>
          <w:tab w:val="left" w:pos="4320"/>
          <w:tab w:val="left" w:pos="5040"/>
          <w:tab w:val="left" w:pos="7020"/>
        </w:tabs>
        <w:spacing w:after="0" w:line="240" w:lineRule="auto"/>
        <w:ind w:left="5040"/>
        <w:rPr>
          <w:rFonts w:ascii="Georgia" w:eastAsia="Times New Roman" w:hAnsi="Georgia" w:cs="Times New Roman"/>
          <w:sz w:val="24"/>
          <w:szCs w:val="24"/>
        </w:rPr>
      </w:pPr>
      <w:r w:rsidRPr="00FA070F">
        <w:rPr>
          <w:rFonts w:ascii="Georgia" w:eastAsia="Times New Roman" w:hAnsi="Georgia" w:cs="Times New Roman"/>
          <w:i/>
          <w:iCs/>
          <w:sz w:val="24"/>
          <w:szCs w:val="24"/>
          <w:u w:val="single"/>
        </w:rPr>
        <w:t>/s/Kurt J. Boehm</w:t>
      </w:r>
      <w:r w:rsidRPr="00FA070F">
        <w:rPr>
          <w:rFonts w:ascii="Georgia" w:eastAsia="Times New Roman" w:hAnsi="Georgia" w:cs="Times New Roman"/>
          <w:i/>
          <w:iCs/>
          <w:sz w:val="24"/>
          <w:szCs w:val="24"/>
          <w:u w:val="single"/>
        </w:rPr>
        <w:tab/>
      </w:r>
      <w:r w:rsidRPr="00FA070F">
        <w:rPr>
          <w:rFonts w:ascii="Georgia" w:eastAsia="Times New Roman" w:hAnsi="Georgia" w:cs="Times New Roman"/>
          <w:i/>
          <w:iCs/>
          <w:sz w:val="24"/>
          <w:szCs w:val="24"/>
          <w:u w:val="single"/>
        </w:rPr>
        <w:tab/>
      </w:r>
      <w:r w:rsidRPr="00FA070F">
        <w:rPr>
          <w:rFonts w:ascii="Georgia" w:eastAsia="Times New Roman" w:hAnsi="Georgia" w:cs="Times New Roman"/>
          <w:i/>
          <w:iCs/>
          <w:sz w:val="24"/>
          <w:szCs w:val="24"/>
          <w:u w:val="single"/>
        </w:rPr>
        <w:tab/>
      </w:r>
      <w:r w:rsidRPr="00FA070F">
        <w:rPr>
          <w:rFonts w:ascii="Georgia" w:eastAsia="Times New Roman" w:hAnsi="Georgia" w:cs="Times New Roman"/>
          <w:sz w:val="24"/>
          <w:szCs w:val="24"/>
          <w:u w:val="single"/>
        </w:rPr>
        <w:tab/>
      </w:r>
      <w:r w:rsidRPr="00FA070F">
        <w:rPr>
          <w:rFonts w:ascii="Georgia" w:eastAsia="Times New Roman" w:hAnsi="Georgia" w:cs="Times New Roman"/>
          <w:sz w:val="24"/>
          <w:szCs w:val="24"/>
          <w:u w:val="single"/>
        </w:rPr>
        <w:tab/>
      </w:r>
      <w:r w:rsidRPr="00FA070F">
        <w:rPr>
          <w:rFonts w:ascii="Georgia" w:eastAsia="Times New Roman" w:hAnsi="Georgia" w:cs="Times New Roman"/>
          <w:sz w:val="24"/>
          <w:szCs w:val="24"/>
          <w:u w:val="single"/>
        </w:rPr>
        <w:br/>
      </w:r>
      <w:r w:rsidRPr="00FA070F">
        <w:rPr>
          <w:rFonts w:ascii="Georgia" w:eastAsia="Times New Roman" w:hAnsi="Georgia" w:cs="Times New Roman"/>
          <w:sz w:val="24"/>
          <w:szCs w:val="24"/>
        </w:rPr>
        <w:t>Kurt J. Boehm, Esq.</w:t>
      </w:r>
    </w:p>
    <w:p w14:paraId="2B71D515" w14:textId="77777777" w:rsidR="009D5094" w:rsidRPr="00FA070F" w:rsidRDefault="009D5094" w:rsidP="009D5094">
      <w:pPr>
        <w:tabs>
          <w:tab w:val="left" w:pos="4320"/>
          <w:tab w:val="left" w:pos="5040"/>
          <w:tab w:val="left" w:pos="7020"/>
        </w:tabs>
        <w:spacing w:after="0" w:line="240" w:lineRule="auto"/>
        <w:ind w:left="5040"/>
        <w:rPr>
          <w:rFonts w:ascii="Georgia" w:eastAsia="Times New Roman" w:hAnsi="Georgia" w:cs="Times New Roman"/>
          <w:sz w:val="24"/>
          <w:szCs w:val="24"/>
        </w:rPr>
      </w:pPr>
      <w:r w:rsidRPr="00FA070F">
        <w:rPr>
          <w:rFonts w:ascii="Georgia" w:eastAsia="Times New Roman" w:hAnsi="Georgia" w:cs="Times New Roman"/>
          <w:sz w:val="24"/>
          <w:szCs w:val="24"/>
        </w:rPr>
        <w:t>Jody Kyler Cohn, Esq.</w:t>
      </w:r>
    </w:p>
    <w:p w14:paraId="49085647" w14:textId="77777777" w:rsidR="009D5094" w:rsidRPr="00FA070F" w:rsidRDefault="009D5094" w:rsidP="009D5094">
      <w:pPr>
        <w:tabs>
          <w:tab w:val="left" w:pos="4320"/>
          <w:tab w:val="left" w:pos="5040"/>
          <w:tab w:val="left" w:pos="7020"/>
        </w:tabs>
        <w:spacing w:after="0" w:line="240" w:lineRule="auto"/>
        <w:ind w:left="5040"/>
        <w:rPr>
          <w:rFonts w:ascii="Georgia" w:eastAsia="Times New Roman" w:hAnsi="Georgia" w:cs="Times New Roman"/>
          <w:b/>
          <w:sz w:val="24"/>
          <w:szCs w:val="24"/>
        </w:rPr>
      </w:pPr>
      <w:r w:rsidRPr="00FA070F">
        <w:rPr>
          <w:rFonts w:ascii="Georgia" w:eastAsia="Times New Roman" w:hAnsi="Georgia" w:cs="Times New Roman"/>
          <w:b/>
          <w:sz w:val="24"/>
          <w:szCs w:val="24"/>
        </w:rPr>
        <w:t>BOEHM, KURTZ &amp; LOWRY</w:t>
      </w:r>
    </w:p>
    <w:p w14:paraId="4DAD7CD3" w14:textId="77777777" w:rsidR="009D5094" w:rsidRPr="00791CDB" w:rsidRDefault="009D5094" w:rsidP="009D5094">
      <w:pPr>
        <w:rPr>
          <w:rFonts w:ascii="Georgia" w:hAnsi="Georgia"/>
          <w:sz w:val="24"/>
          <w:szCs w:val="24"/>
        </w:rPr>
      </w:pPr>
    </w:p>
    <w:sectPr w:rsidR="009D5094" w:rsidRPr="00791CDB" w:rsidSect="00146CBD">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AF19F" w14:textId="77777777" w:rsidR="007B791B" w:rsidRDefault="007B791B" w:rsidP="00480E50">
      <w:pPr>
        <w:spacing w:after="0" w:line="240" w:lineRule="auto"/>
      </w:pPr>
      <w:r>
        <w:separator/>
      </w:r>
    </w:p>
  </w:endnote>
  <w:endnote w:type="continuationSeparator" w:id="0">
    <w:p w14:paraId="6F97D359" w14:textId="77777777" w:rsidR="007B791B" w:rsidRDefault="007B791B" w:rsidP="00480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Georgia-Bold">
    <w:altName w:val="Georgia"/>
    <w:panose1 w:val="00000000000000000000"/>
    <w:charset w:val="00"/>
    <w:family w:val="roman"/>
    <w:notTrueType/>
    <w:pitch w:val="default"/>
    <w:sig w:usb0="00000003" w:usb1="00000000" w:usb2="00000000" w:usb3="00000000" w:csb0="00000001" w:csb1="00000000"/>
  </w:font>
  <w:font w:name="Georgia-Italic">
    <w:altName w:val="Georg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8977719"/>
      <w:docPartObj>
        <w:docPartGallery w:val="Page Numbers (Bottom of Page)"/>
        <w:docPartUnique/>
      </w:docPartObj>
    </w:sdtPr>
    <w:sdtEndPr>
      <w:rPr>
        <w:noProof/>
      </w:rPr>
    </w:sdtEndPr>
    <w:sdtContent>
      <w:p w14:paraId="798EA912" w14:textId="0F3EE4DB" w:rsidR="00FA070F" w:rsidRDefault="00FA070F" w:rsidP="00FA070F">
        <w:pPr>
          <w:pStyle w:val="Footer"/>
          <w:jc w:val="center"/>
        </w:pPr>
        <w:r>
          <w:t>-</w:t>
        </w:r>
        <w:r>
          <w:fldChar w:fldCharType="begin"/>
        </w:r>
        <w:r>
          <w:instrText xml:space="preserve"> PAGE   \* MERGEFORMAT </w:instrText>
        </w:r>
        <w:r>
          <w:fldChar w:fldCharType="separate"/>
        </w:r>
        <w:r>
          <w:rPr>
            <w:noProof/>
          </w:rPr>
          <w:t>2</w:t>
        </w:r>
        <w:r>
          <w:rPr>
            <w:noProof/>
          </w:rPr>
          <w:fldChar w:fldCharType="end"/>
        </w:r>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2D53D" w14:textId="77777777" w:rsidR="007B791B" w:rsidRDefault="007B791B" w:rsidP="00480E50">
      <w:pPr>
        <w:spacing w:after="0" w:line="240" w:lineRule="auto"/>
      </w:pPr>
      <w:r>
        <w:separator/>
      </w:r>
    </w:p>
  </w:footnote>
  <w:footnote w:type="continuationSeparator" w:id="0">
    <w:p w14:paraId="305BA685" w14:textId="77777777" w:rsidR="007B791B" w:rsidRDefault="007B791B" w:rsidP="00480E50">
      <w:pPr>
        <w:spacing w:after="0" w:line="240" w:lineRule="auto"/>
      </w:pPr>
      <w:r>
        <w:continuationSeparator/>
      </w:r>
    </w:p>
  </w:footnote>
  <w:footnote w:id="1">
    <w:p w14:paraId="0B268FB9" w14:textId="511CE2BC" w:rsidR="00C02040" w:rsidRPr="00FA070F" w:rsidRDefault="00C02040">
      <w:pPr>
        <w:pStyle w:val="FootnoteText"/>
        <w:rPr>
          <w:rFonts w:ascii="Georgia" w:hAnsi="Georgia"/>
        </w:rPr>
      </w:pPr>
      <w:r w:rsidRPr="00FA070F">
        <w:rPr>
          <w:rStyle w:val="FootnoteReference"/>
          <w:rFonts w:ascii="Georgia" w:hAnsi="Georgia"/>
        </w:rPr>
        <w:footnoteRef/>
      </w:r>
      <w:r w:rsidRPr="00FA070F">
        <w:rPr>
          <w:rFonts w:ascii="Georgia" w:hAnsi="Georgia"/>
        </w:rPr>
        <w:t xml:space="preserve"> </w:t>
      </w:r>
      <w:r w:rsidR="00740DD1">
        <w:rPr>
          <w:rFonts w:ascii="Georgia" w:hAnsi="Georgia"/>
        </w:rPr>
        <w:t>Oncor Exhibit 54,</w:t>
      </w:r>
      <w:r w:rsidRPr="00FA070F">
        <w:rPr>
          <w:rFonts w:ascii="Georgia" w:hAnsi="Georgia"/>
        </w:rPr>
        <w:t xml:space="preserve"> </w:t>
      </w:r>
      <w:r w:rsidR="00740DD1">
        <w:rPr>
          <w:rFonts w:ascii="Georgia" w:hAnsi="Georgia"/>
        </w:rPr>
        <w:t>at</w:t>
      </w:r>
      <w:r w:rsidRPr="00FA070F">
        <w:rPr>
          <w:rFonts w:ascii="Georgia" w:hAnsi="Georgia"/>
        </w:rPr>
        <w:t xml:space="preserve"> 12 </w:t>
      </w:r>
    </w:p>
  </w:footnote>
  <w:footnote w:id="2">
    <w:p w14:paraId="390FA6DE" w14:textId="6EA0F64F" w:rsidR="00E75D0F" w:rsidRPr="00FA070F" w:rsidRDefault="00E75D0F" w:rsidP="00E75D0F">
      <w:pPr>
        <w:pStyle w:val="FootnoteText"/>
        <w:jc w:val="both"/>
        <w:rPr>
          <w:rFonts w:ascii="Georgia" w:hAnsi="Georgia"/>
        </w:rPr>
      </w:pPr>
      <w:r w:rsidRPr="00FA070F">
        <w:rPr>
          <w:rStyle w:val="FootnoteReference"/>
          <w:rFonts w:ascii="Georgia" w:hAnsi="Georgia"/>
        </w:rPr>
        <w:footnoteRef/>
      </w:r>
      <w:r w:rsidRPr="00FA070F">
        <w:rPr>
          <w:rFonts w:ascii="Georgia" w:hAnsi="Georgia"/>
        </w:rPr>
        <w:t xml:space="preserve"> Mr. Bieber testified</w:t>
      </w:r>
      <w:bookmarkStart w:id="0" w:name="_Hlk111637251"/>
      <w:r w:rsidRPr="00FA070F">
        <w:rPr>
          <w:rFonts w:ascii="Georgia" w:hAnsi="Georgia"/>
        </w:rPr>
        <w:t>: “</w:t>
      </w:r>
      <w:r w:rsidRPr="00FA070F">
        <w:rPr>
          <w:rFonts w:ascii="Georgia" w:hAnsi="Georgia"/>
          <w:bCs/>
          <w:i/>
          <w:iCs/>
        </w:rPr>
        <w:t xml:space="preserve">The need for secondary transformers is primarily driven by the number of customers on the system. </w:t>
      </w:r>
      <w:bookmarkEnd w:id="0"/>
      <w:r w:rsidRPr="00FA070F">
        <w:rPr>
          <w:rFonts w:ascii="Georgia" w:hAnsi="Georgia"/>
          <w:bCs/>
          <w:i/>
          <w:iCs/>
        </w:rPr>
        <w:t>These transformers are installed to deliver service to customers. As such, the amount of investment required to provide these facilities is directly related to the number of customers on the utility’s system.  Since the number of customers is the primary driver of secondary transformer costs, a significant portion of these costs are clearly customer-related and therefore should be recovered through a customer charge</w:t>
      </w:r>
      <w:r w:rsidRPr="00FA070F">
        <w:rPr>
          <w:rFonts w:ascii="Georgia" w:hAnsi="Georgia"/>
          <w:bCs/>
        </w:rPr>
        <w:t>.” (</w:t>
      </w:r>
      <w:r w:rsidR="00913B24" w:rsidRPr="00FA070F">
        <w:rPr>
          <w:rFonts w:ascii="Georgia" w:hAnsi="Georgia"/>
          <w:bCs/>
        </w:rPr>
        <w:t xml:space="preserve">Kroger Exhibit </w:t>
      </w:r>
      <w:r w:rsidR="00791CDB" w:rsidRPr="00FA070F">
        <w:rPr>
          <w:rFonts w:ascii="Georgia" w:hAnsi="Georgia"/>
          <w:bCs/>
        </w:rPr>
        <w:t>1</w:t>
      </w:r>
      <w:r w:rsidR="00740DD1">
        <w:rPr>
          <w:rFonts w:ascii="Georgia" w:hAnsi="Georgia"/>
          <w:bCs/>
        </w:rPr>
        <w:t xml:space="preserve">, </w:t>
      </w:r>
      <w:r w:rsidRPr="00FA070F">
        <w:rPr>
          <w:rFonts w:ascii="Georgia" w:hAnsi="Georgia"/>
          <w:bCs/>
        </w:rPr>
        <w:t>at 7-8)</w:t>
      </w:r>
    </w:p>
  </w:footnote>
  <w:footnote w:id="3">
    <w:p w14:paraId="7A9A6937" w14:textId="77777777" w:rsidR="00566CD6" w:rsidRPr="00FA070F" w:rsidRDefault="00566CD6" w:rsidP="00566CD6">
      <w:pPr>
        <w:pStyle w:val="FootnoteText"/>
        <w:rPr>
          <w:rFonts w:ascii="Georgia" w:hAnsi="Georgia"/>
        </w:rPr>
      </w:pPr>
      <w:r w:rsidRPr="00FA070F">
        <w:rPr>
          <w:rStyle w:val="FootnoteReference"/>
          <w:rFonts w:ascii="Georgia" w:hAnsi="Georgia"/>
        </w:rPr>
        <w:footnoteRef/>
      </w:r>
      <w:r w:rsidRPr="00FA070F">
        <w:rPr>
          <w:rFonts w:ascii="Georgia" w:hAnsi="Georgia"/>
        </w:rPr>
        <w:t xml:space="preserve"> NARUC Electric Utility Cost Allocation Manual, p. 90 (1992).</w:t>
      </w:r>
    </w:p>
  </w:footnote>
  <w:footnote w:id="4">
    <w:p w14:paraId="437422E0" w14:textId="26CC3B74" w:rsidR="00FD502E" w:rsidRPr="00FA070F" w:rsidRDefault="00FD502E">
      <w:pPr>
        <w:pStyle w:val="FootnoteText"/>
        <w:rPr>
          <w:rFonts w:ascii="Georgia" w:hAnsi="Georgia"/>
        </w:rPr>
      </w:pPr>
      <w:r w:rsidRPr="00FA070F">
        <w:rPr>
          <w:rStyle w:val="FootnoteReference"/>
          <w:rFonts w:ascii="Georgia" w:hAnsi="Georgia"/>
        </w:rPr>
        <w:footnoteRef/>
      </w:r>
      <w:r w:rsidRPr="00FA070F">
        <w:rPr>
          <w:rFonts w:ascii="Georgia" w:hAnsi="Georgia"/>
        </w:rPr>
        <w:t xml:space="preserve"> Kroger Exhibit 1 at </w:t>
      </w:r>
      <w:r w:rsidR="000761D7" w:rsidRPr="00FA070F">
        <w:rPr>
          <w:rFonts w:ascii="Georgia" w:hAnsi="Georgia"/>
        </w:rPr>
        <w:t>6-7.</w:t>
      </w:r>
    </w:p>
  </w:footnote>
  <w:footnote w:id="5">
    <w:p w14:paraId="4EFFBBCE" w14:textId="410A5852" w:rsidR="005C11D8" w:rsidRPr="00FA070F" w:rsidRDefault="005C11D8">
      <w:pPr>
        <w:pStyle w:val="FootnoteText"/>
        <w:rPr>
          <w:rFonts w:ascii="Georgia" w:hAnsi="Georgia"/>
        </w:rPr>
      </w:pPr>
      <w:r w:rsidRPr="00FA070F">
        <w:rPr>
          <w:rStyle w:val="FootnoteReference"/>
          <w:rFonts w:ascii="Georgia" w:hAnsi="Georgia"/>
        </w:rPr>
        <w:footnoteRef/>
      </w:r>
      <w:r w:rsidRPr="00FA070F">
        <w:rPr>
          <w:rFonts w:ascii="Georgia" w:hAnsi="Georgia"/>
        </w:rPr>
        <w:t xml:space="preserve"> Kroger Exhibit 1 at </w:t>
      </w:r>
      <w:r w:rsidR="00F30062" w:rsidRPr="00FA070F">
        <w:rPr>
          <w:rFonts w:ascii="Georgia" w:hAnsi="Georgia"/>
        </w:rPr>
        <w:t>9.</w:t>
      </w:r>
    </w:p>
  </w:footnote>
  <w:footnote w:id="6">
    <w:p w14:paraId="004E36F9" w14:textId="50B3D722" w:rsidR="0037217C" w:rsidRPr="00FA070F" w:rsidRDefault="0037217C">
      <w:pPr>
        <w:pStyle w:val="FootnoteText"/>
        <w:rPr>
          <w:rFonts w:ascii="Georgia" w:hAnsi="Georgia"/>
        </w:rPr>
      </w:pPr>
      <w:r w:rsidRPr="00FA070F">
        <w:rPr>
          <w:rStyle w:val="FootnoteReference"/>
          <w:rFonts w:ascii="Georgia" w:hAnsi="Georgia"/>
        </w:rPr>
        <w:footnoteRef/>
      </w:r>
      <w:r w:rsidRPr="00FA070F">
        <w:rPr>
          <w:rFonts w:ascii="Georgia" w:hAnsi="Georgia"/>
        </w:rPr>
        <w:t xml:space="preserve"> Kroger Exhibit 1 at 9.</w:t>
      </w:r>
    </w:p>
  </w:footnote>
  <w:footnote w:id="7">
    <w:p w14:paraId="02F878EF" w14:textId="05ACD1CC" w:rsidR="006011A6" w:rsidRPr="00FA070F" w:rsidRDefault="006011A6">
      <w:pPr>
        <w:pStyle w:val="FootnoteText"/>
        <w:rPr>
          <w:rFonts w:ascii="Georgia" w:hAnsi="Georgia"/>
        </w:rPr>
      </w:pPr>
      <w:r w:rsidRPr="00FA070F">
        <w:rPr>
          <w:rStyle w:val="FootnoteReference"/>
          <w:rFonts w:ascii="Georgia" w:hAnsi="Georgia"/>
        </w:rPr>
        <w:footnoteRef/>
      </w:r>
      <w:r w:rsidRPr="00FA070F">
        <w:rPr>
          <w:rFonts w:ascii="Georgia" w:hAnsi="Georgia"/>
        </w:rPr>
        <w:t xml:space="preserve"> Kroger Exhibit 1 at 9-10.</w:t>
      </w:r>
    </w:p>
  </w:footnote>
  <w:footnote w:id="8">
    <w:p w14:paraId="614BD267" w14:textId="1DE0E012" w:rsidR="006011A6" w:rsidRPr="00FA070F" w:rsidRDefault="006011A6" w:rsidP="00FA070F">
      <w:pPr>
        <w:pStyle w:val="BodyTextIndent"/>
        <w:ind w:left="0" w:firstLine="0"/>
        <w:jc w:val="both"/>
        <w:rPr>
          <w:rFonts w:ascii="Georgia" w:hAnsi="Georgia"/>
          <w:b/>
          <w:bCs/>
          <w:sz w:val="20"/>
        </w:rPr>
      </w:pPr>
      <w:r w:rsidRPr="00FA070F">
        <w:rPr>
          <w:rStyle w:val="FootnoteReference"/>
          <w:rFonts w:ascii="Georgia" w:hAnsi="Georgia"/>
          <w:sz w:val="20"/>
        </w:rPr>
        <w:footnoteRef/>
      </w:r>
      <w:r w:rsidRPr="00FA070F">
        <w:rPr>
          <w:rFonts w:ascii="Georgia" w:hAnsi="Georgia"/>
          <w:sz w:val="20"/>
        </w:rPr>
        <w:t xml:space="preserve"> Kroger Exhibit 1 at 10.</w:t>
      </w:r>
      <w:r w:rsidR="000222B0" w:rsidRPr="00FA070F">
        <w:rPr>
          <w:rFonts w:ascii="Georgia" w:hAnsi="Georgia"/>
          <w:sz w:val="20"/>
        </w:rPr>
        <w:t xml:space="preserve">  To the extent that the Commission approves a revenue target for the Secondary &gt; 10 kW rate schedule that is different than Oncor is seeking, Kroger recommends that each rate element in my proposed Secondary &gt; 10 kW rate design be reduced by an equal percentage in order to recover the target revenue requirement.</w:t>
      </w:r>
    </w:p>
  </w:footnote>
  <w:footnote w:id="9">
    <w:p w14:paraId="77D49BB0" w14:textId="573293E0" w:rsidR="00740DD1" w:rsidRDefault="00740DD1">
      <w:pPr>
        <w:pStyle w:val="FootnoteText"/>
      </w:pPr>
      <w:r>
        <w:rPr>
          <w:rStyle w:val="FootnoteReference"/>
        </w:rPr>
        <w:footnoteRef/>
      </w:r>
      <w:r>
        <w:t xml:space="preserve"> </w:t>
      </w:r>
      <w:r>
        <w:rPr>
          <w:rFonts w:ascii="Georgia" w:hAnsi="Georgia"/>
        </w:rPr>
        <w:t>Oncor Exhibit 54,</w:t>
      </w:r>
      <w:r w:rsidRPr="00FA070F">
        <w:rPr>
          <w:rFonts w:ascii="Georgia" w:hAnsi="Georgia"/>
        </w:rPr>
        <w:t xml:space="preserve"> p. </w:t>
      </w:r>
      <w:r>
        <w:rPr>
          <w:rFonts w:ascii="Georgia" w:hAnsi="Georgia"/>
        </w:rPr>
        <w:t>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A6368"/>
    <w:multiLevelType w:val="hybridMultilevel"/>
    <w:tmpl w:val="2200C3A6"/>
    <w:lvl w:ilvl="0" w:tplc="6F6043B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249458D"/>
    <w:multiLevelType w:val="hybridMultilevel"/>
    <w:tmpl w:val="656EC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846574">
    <w:abstractNumId w:val="1"/>
  </w:num>
  <w:num w:numId="2" w16cid:durableId="130072244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5BB"/>
    <w:rsid w:val="000005CD"/>
    <w:rsid w:val="000222B0"/>
    <w:rsid w:val="00026287"/>
    <w:rsid w:val="000326B9"/>
    <w:rsid w:val="00073871"/>
    <w:rsid w:val="000761D7"/>
    <w:rsid w:val="00095DB7"/>
    <w:rsid w:val="000972F2"/>
    <w:rsid w:val="000D2B69"/>
    <w:rsid w:val="00146CBD"/>
    <w:rsid w:val="00162151"/>
    <w:rsid w:val="00174412"/>
    <w:rsid w:val="001A5C75"/>
    <w:rsid w:val="001D4D53"/>
    <w:rsid w:val="001F2474"/>
    <w:rsid w:val="00286B7A"/>
    <w:rsid w:val="002C7CDA"/>
    <w:rsid w:val="003123A6"/>
    <w:rsid w:val="003244D6"/>
    <w:rsid w:val="00361A64"/>
    <w:rsid w:val="00371B33"/>
    <w:rsid w:val="0037217C"/>
    <w:rsid w:val="003A3E95"/>
    <w:rsid w:val="003A47D8"/>
    <w:rsid w:val="003B51BF"/>
    <w:rsid w:val="003E2618"/>
    <w:rsid w:val="00455907"/>
    <w:rsid w:val="00480E50"/>
    <w:rsid w:val="00496D93"/>
    <w:rsid w:val="004C779E"/>
    <w:rsid w:val="005035E6"/>
    <w:rsid w:val="00566CD6"/>
    <w:rsid w:val="005C11D8"/>
    <w:rsid w:val="006011A6"/>
    <w:rsid w:val="006127E4"/>
    <w:rsid w:val="00662341"/>
    <w:rsid w:val="00662B07"/>
    <w:rsid w:val="006C07CA"/>
    <w:rsid w:val="006D0C5D"/>
    <w:rsid w:val="006E590B"/>
    <w:rsid w:val="00740DD1"/>
    <w:rsid w:val="007749AE"/>
    <w:rsid w:val="00777BFD"/>
    <w:rsid w:val="0078479F"/>
    <w:rsid w:val="00791CDB"/>
    <w:rsid w:val="007B791B"/>
    <w:rsid w:val="007F6D91"/>
    <w:rsid w:val="0080493F"/>
    <w:rsid w:val="008D46B4"/>
    <w:rsid w:val="00913B24"/>
    <w:rsid w:val="009372E1"/>
    <w:rsid w:val="00975DB6"/>
    <w:rsid w:val="009B5D62"/>
    <w:rsid w:val="009D0228"/>
    <w:rsid w:val="009D16F0"/>
    <w:rsid w:val="009D3645"/>
    <w:rsid w:val="009D5094"/>
    <w:rsid w:val="009E6E60"/>
    <w:rsid w:val="009F194E"/>
    <w:rsid w:val="009F1D67"/>
    <w:rsid w:val="00A00F13"/>
    <w:rsid w:val="00A0189C"/>
    <w:rsid w:val="00A15E13"/>
    <w:rsid w:val="00A40A0A"/>
    <w:rsid w:val="00A61A5B"/>
    <w:rsid w:val="00A71016"/>
    <w:rsid w:val="00AA4686"/>
    <w:rsid w:val="00AC7C5B"/>
    <w:rsid w:val="00AE4292"/>
    <w:rsid w:val="00AE6789"/>
    <w:rsid w:val="00C02040"/>
    <w:rsid w:val="00C03F07"/>
    <w:rsid w:val="00C417EA"/>
    <w:rsid w:val="00C735BB"/>
    <w:rsid w:val="00C9343D"/>
    <w:rsid w:val="00D16F7D"/>
    <w:rsid w:val="00D33B55"/>
    <w:rsid w:val="00DE674E"/>
    <w:rsid w:val="00DF6795"/>
    <w:rsid w:val="00E613C1"/>
    <w:rsid w:val="00E75D0F"/>
    <w:rsid w:val="00E87712"/>
    <w:rsid w:val="00F30062"/>
    <w:rsid w:val="00F620A9"/>
    <w:rsid w:val="00FA070F"/>
    <w:rsid w:val="00FB1693"/>
    <w:rsid w:val="00FB4D1B"/>
    <w:rsid w:val="00FD502E"/>
    <w:rsid w:val="00FD5BE3"/>
    <w:rsid w:val="00FF1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E2D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B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735BB"/>
    <w:pPr>
      <w:spacing w:after="0" w:line="240" w:lineRule="auto"/>
      <w:ind w:left="270" w:hanging="27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C735BB"/>
    <w:rPr>
      <w:rFonts w:ascii="Times New Roman" w:eastAsia="Times New Roman" w:hAnsi="Times New Roman" w:cs="Times New Roman"/>
      <w:sz w:val="24"/>
      <w:szCs w:val="20"/>
    </w:rPr>
  </w:style>
  <w:style w:type="paragraph" w:styleId="FootnoteText">
    <w:name w:val="footnote text"/>
    <w:basedOn w:val="Normal"/>
    <w:link w:val="FootnoteTextChar"/>
    <w:semiHidden/>
    <w:rsid w:val="00480E5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80E50"/>
    <w:rPr>
      <w:rFonts w:ascii="Times New Roman" w:eastAsia="Times New Roman" w:hAnsi="Times New Roman" w:cs="Times New Roman"/>
      <w:sz w:val="20"/>
      <w:szCs w:val="20"/>
    </w:rPr>
  </w:style>
  <w:style w:type="character" w:styleId="FootnoteReference">
    <w:name w:val="footnote reference"/>
    <w:semiHidden/>
    <w:rsid w:val="00480E50"/>
    <w:rPr>
      <w:vertAlign w:val="superscript"/>
    </w:rPr>
  </w:style>
  <w:style w:type="paragraph" w:styleId="Title">
    <w:name w:val="Title"/>
    <w:basedOn w:val="Normal"/>
    <w:link w:val="TitleChar"/>
    <w:qFormat/>
    <w:rsid w:val="00480E50"/>
    <w:pPr>
      <w:spacing w:after="0" w:line="48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rsid w:val="00480E50"/>
    <w:rPr>
      <w:rFonts w:ascii="Times New Roman" w:eastAsia="Times New Roman" w:hAnsi="Times New Roman" w:cs="Times New Roman"/>
      <w:b/>
      <w:sz w:val="24"/>
      <w:szCs w:val="20"/>
    </w:rPr>
  </w:style>
  <w:style w:type="paragraph" w:styleId="BodyText">
    <w:name w:val="Body Text"/>
    <w:basedOn w:val="Normal"/>
    <w:link w:val="BodyTextChar"/>
    <w:rsid w:val="00480E50"/>
    <w:pPr>
      <w:spacing w:after="0" w:line="48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80E50"/>
    <w:rPr>
      <w:rFonts w:ascii="Times New Roman" w:eastAsia="Times New Roman" w:hAnsi="Times New Roman" w:cs="Times New Roman"/>
      <w:sz w:val="24"/>
      <w:szCs w:val="20"/>
    </w:rPr>
  </w:style>
  <w:style w:type="paragraph" w:styleId="BodyTextIndent3">
    <w:name w:val="Body Text Indent 3"/>
    <w:basedOn w:val="Normal"/>
    <w:link w:val="BodyTextIndent3Char"/>
    <w:rsid w:val="00480E50"/>
    <w:pPr>
      <w:spacing w:after="0" w:line="480" w:lineRule="auto"/>
      <w:ind w:left="720" w:hanging="720"/>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80E50"/>
    <w:rPr>
      <w:rFonts w:ascii="Times New Roman" w:eastAsia="Times New Roman" w:hAnsi="Times New Roman" w:cs="Times New Roman"/>
      <w:sz w:val="24"/>
      <w:szCs w:val="20"/>
    </w:rPr>
  </w:style>
  <w:style w:type="paragraph" w:styleId="BodyTextIndent2">
    <w:name w:val="Body Text Indent 2"/>
    <w:basedOn w:val="Normal"/>
    <w:link w:val="BodyTextIndent2Char"/>
    <w:rsid w:val="00480E50"/>
    <w:pPr>
      <w:spacing w:after="0" w:line="480" w:lineRule="auto"/>
      <w:ind w:left="144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480E50"/>
    <w:rPr>
      <w:rFonts w:ascii="Times New Roman" w:eastAsia="Times New Roman" w:hAnsi="Times New Roman" w:cs="Times New Roman"/>
      <w:sz w:val="24"/>
      <w:szCs w:val="20"/>
    </w:rPr>
  </w:style>
  <w:style w:type="paragraph" w:styleId="Footer">
    <w:name w:val="footer"/>
    <w:basedOn w:val="Normal"/>
    <w:link w:val="FooterChar"/>
    <w:uiPriority w:val="99"/>
    <w:rsid w:val="00480E5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480E50"/>
    <w:rPr>
      <w:rFonts w:ascii="Times New Roman" w:eastAsia="Times New Roman" w:hAnsi="Times New Roman" w:cs="Times New Roman"/>
      <w:sz w:val="20"/>
      <w:szCs w:val="20"/>
    </w:rPr>
  </w:style>
  <w:style w:type="character" w:styleId="PageNumber">
    <w:name w:val="page number"/>
    <w:basedOn w:val="DefaultParagraphFont"/>
    <w:rsid w:val="00480E50"/>
  </w:style>
  <w:style w:type="character" w:styleId="LineNumber">
    <w:name w:val="line number"/>
    <w:basedOn w:val="DefaultParagraphFont"/>
    <w:rsid w:val="00480E50"/>
  </w:style>
  <w:style w:type="character" w:styleId="CommentReference">
    <w:name w:val="annotation reference"/>
    <w:semiHidden/>
    <w:rsid w:val="00480E50"/>
    <w:rPr>
      <w:sz w:val="16"/>
      <w:szCs w:val="16"/>
    </w:rPr>
  </w:style>
  <w:style w:type="paragraph" w:styleId="CommentText">
    <w:name w:val="annotation text"/>
    <w:basedOn w:val="Normal"/>
    <w:link w:val="CommentTextChar"/>
    <w:semiHidden/>
    <w:rsid w:val="00480E50"/>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480E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80E50"/>
    <w:rPr>
      <w:b/>
      <w:bCs/>
    </w:rPr>
  </w:style>
  <w:style w:type="character" w:customStyle="1" w:styleId="CommentSubjectChar">
    <w:name w:val="Comment Subject Char"/>
    <w:basedOn w:val="CommentTextChar"/>
    <w:link w:val="CommentSubject"/>
    <w:semiHidden/>
    <w:rsid w:val="00480E50"/>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480E50"/>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80E50"/>
    <w:rPr>
      <w:rFonts w:ascii="Tahoma" w:eastAsia="Times New Roman" w:hAnsi="Tahoma" w:cs="Tahoma"/>
      <w:sz w:val="16"/>
      <w:szCs w:val="16"/>
    </w:rPr>
  </w:style>
  <w:style w:type="character" w:styleId="Hyperlink">
    <w:name w:val="Hyperlink"/>
    <w:rsid w:val="00480E50"/>
    <w:rPr>
      <w:color w:val="0000FF"/>
      <w:u w:val="single"/>
    </w:rPr>
  </w:style>
  <w:style w:type="paragraph" w:styleId="Header">
    <w:name w:val="header"/>
    <w:basedOn w:val="Normal"/>
    <w:link w:val="HeaderChar"/>
    <w:rsid w:val="00480E5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480E50"/>
    <w:rPr>
      <w:rFonts w:ascii="Times New Roman" w:eastAsia="Times New Roman" w:hAnsi="Times New Roman" w:cs="Times New Roman"/>
      <w:sz w:val="20"/>
      <w:szCs w:val="20"/>
    </w:rPr>
  </w:style>
  <w:style w:type="paragraph" w:styleId="TOC1">
    <w:name w:val="toc 1"/>
    <w:basedOn w:val="Normal"/>
    <w:next w:val="Normal"/>
    <w:autoRedefine/>
    <w:semiHidden/>
    <w:rsid w:val="00480E50"/>
    <w:pPr>
      <w:tabs>
        <w:tab w:val="right" w:leader="dot" w:pos="8630"/>
      </w:tabs>
      <w:spacing w:after="0" w:line="36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480E50"/>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480E50"/>
    <w:rPr>
      <w:rFonts w:ascii="Consolas" w:eastAsia="Calibri" w:hAnsi="Consolas" w:cs="Times New Roman"/>
      <w:sz w:val="21"/>
      <w:szCs w:val="21"/>
    </w:rPr>
  </w:style>
  <w:style w:type="paragraph" w:customStyle="1" w:styleId="a">
    <w:name w:val="_"/>
    <w:basedOn w:val="Normal"/>
    <w:rsid w:val="00480E50"/>
    <w:pPr>
      <w:widowControl w:val="0"/>
      <w:autoSpaceDE w:val="0"/>
      <w:autoSpaceDN w:val="0"/>
      <w:adjustRightInd w:val="0"/>
      <w:spacing w:after="0" w:line="240" w:lineRule="auto"/>
      <w:ind w:left="1710" w:hanging="270"/>
    </w:pPr>
    <w:rPr>
      <w:rFonts w:ascii="Times New Roman" w:eastAsia="Times New Roman" w:hAnsi="Times New Roman" w:cs="Times New Roman"/>
      <w:sz w:val="24"/>
      <w:szCs w:val="24"/>
    </w:rPr>
  </w:style>
  <w:style w:type="paragraph" w:styleId="Revision">
    <w:name w:val="Revision"/>
    <w:hidden/>
    <w:uiPriority w:val="99"/>
    <w:semiHidden/>
    <w:rsid w:val="00480E50"/>
    <w:pPr>
      <w:spacing w:after="0" w:line="240" w:lineRule="auto"/>
    </w:pPr>
    <w:rPr>
      <w:rFonts w:ascii="Times New Roman" w:eastAsia="Times New Roman" w:hAnsi="Times New Roman" w:cs="Times New Roman"/>
      <w:sz w:val="20"/>
      <w:szCs w:val="20"/>
    </w:rPr>
  </w:style>
  <w:style w:type="table" w:styleId="TableGrid">
    <w:name w:val="Table Grid"/>
    <w:basedOn w:val="TableNormal"/>
    <w:rsid w:val="00480E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4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53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boehm@BKLlawfirm.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grantclifton@gmail.com" TargetMode="External"/><Relationship Id="rId4" Type="http://schemas.openxmlformats.org/officeDocument/2006/relationships/webSettings" Target="webSettings.xml"/><Relationship Id="rId9" Type="http://schemas.openxmlformats.org/officeDocument/2006/relationships/hyperlink" Target="mailto:jkylercohn@BKLlawfir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1360</Words>
  <Characters>7753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2022-10-14T18:46:00Z</dcterms:created>
  <dcterms:modified xsi:type="dcterms:W3CDTF">2022-10-14T18:48:00Z</dcterms:modified>
</cp:coreProperties>
</file>